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6F658383"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r w:rsidR="52FF381F">
        <w:t xml:space="preserve"> 202</w:t>
      </w:r>
      <w:r w:rsidR="091EABD6">
        <w:t>4</w:t>
      </w:r>
      <w:r w:rsidR="52FF381F">
        <w:t>-202</w:t>
      </w:r>
      <w:r w:rsidR="09002BFD">
        <w:t>5</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27811EF1" w:rsidR="00E66558" w:rsidRDefault="009D71E8">
      <w:pPr>
        <w:pStyle w:val="Heading2"/>
        <w:rPr>
          <w:b w:val="0"/>
          <w:bCs/>
          <w:color w:val="auto"/>
          <w:sz w:val="24"/>
          <w:szCs w:val="24"/>
        </w:rPr>
      </w:pPr>
      <w:r>
        <w:rPr>
          <w:b w:val="0"/>
          <w:bCs/>
          <w:color w:val="auto"/>
          <w:sz w:val="24"/>
          <w:szCs w:val="24"/>
        </w:rPr>
        <w:t xml:space="preserve">This statement details our school’s use of pupil premium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10572"/>
        <w:gridCol w:w="4816"/>
      </w:tblGrid>
      <w:tr w:rsidR="00E66558" w14:paraId="2A7D54B7" w14:textId="77777777" w:rsidTr="01D98F3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01D98F3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B8" w14:textId="77777777" w:rsidR="00E66558" w:rsidRDefault="009D71E8" w:rsidP="00674803">
            <w:pPr>
              <w:pStyle w:val="TableRow"/>
            </w:pPr>
            <w:r>
              <w:t>School name</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414C208E" w:rsidR="00E66558" w:rsidRDefault="006B0EA5">
            <w:pPr>
              <w:pStyle w:val="TableRow"/>
            </w:pPr>
            <w:r>
              <w:t>Brooklands Primary School</w:t>
            </w:r>
          </w:p>
        </w:tc>
      </w:tr>
      <w:tr w:rsidR="00E66558" w14:paraId="2A7D54BD" w14:textId="77777777" w:rsidTr="01D98F3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BB" w14:textId="77777777" w:rsidR="00E66558" w:rsidRDefault="009D71E8" w:rsidP="0067480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4B32DD0E" w:rsidR="00E66558" w:rsidRDefault="0098516C" w:rsidP="00D931EA">
            <w:pPr>
              <w:pStyle w:val="TableRow"/>
            </w:pPr>
            <w:r>
              <w:t>653</w:t>
            </w:r>
          </w:p>
        </w:tc>
      </w:tr>
      <w:tr w:rsidR="00E66558" w14:paraId="2A7D54C0" w14:textId="77777777" w:rsidTr="01D98F3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BE" w14:textId="77777777" w:rsidR="00E66558" w:rsidRDefault="009D71E8" w:rsidP="0067480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00319D9C" w:rsidR="00E66558" w:rsidRDefault="0098516C">
            <w:pPr>
              <w:pStyle w:val="TableRow"/>
            </w:pPr>
            <w:r>
              <w:t>4.94</w:t>
            </w:r>
            <w:r w:rsidR="365992C7">
              <w:t>%</w:t>
            </w:r>
          </w:p>
        </w:tc>
      </w:tr>
      <w:tr w:rsidR="00E66558" w14:paraId="2A7D54C3" w14:textId="77777777" w:rsidTr="01D98F3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C1" w14:textId="77777777" w:rsidR="00E66558" w:rsidRDefault="009D71E8" w:rsidP="00674803">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5F7C7AB6" w:rsidR="006B0EA5" w:rsidRDefault="006B0EA5" w:rsidP="006B0EA5">
            <w:pPr>
              <w:pStyle w:val="TableRow"/>
            </w:pPr>
            <w:r>
              <w:t>2023-2024</w:t>
            </w:r>
            <w:r w:rsidR="00D931EA">
              <w:t>, 2024-2025</w:t>
            </w:r>
            <w:r w:rsidR="00A65A8B">
              <w:t>, 2025-2026</w:t>
            </w:r>
          </w:p>
        </w:tc>
      </w:tr>
      <w:tr w:rsidR="00E66558" w14:paraId="2A7D54C6" w14:textId="77777777" w:rsidTr="01D98F3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C4" w14:textId="77777777" w:rsidR="00E66558" w:rsidRDefault="009D71E8" w:rsidP="0067480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7A635DC7" w:rsidR="00E66558" w:rsidRDefault="006B0EA5" w:rsidP="00E874BF">
            <w:pPr>
              <w:pStyle w:val="TableRow"/>
            </w:pPr>
            <w:r>
              <w:t>1</w:t>
            </w:r>
            <w:r w:rsidR="00652BD9">
              <w:t>0</w:t>
            </w:r>
            <w:r>
              <w:t>/20</w:t>
            </w:r>
            <w:r w:rsidR="00652BD9">
              <w:t>24</w:t>
            </w:r>
          </w:p>
        </w:tc>
      </w:tr>
      <w:tr w:rsidR="00E66558" w14:paraId="2A7D54C9" w14:textId="77777777" w:rsidTr="01D98F3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C7" w14:textId="77777777" w:rsidR="00E66558" w:rsidRDefault="009D71E8" w:rsidP="0067480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762D7ABB" w:rsidR="00E66558" w:rsidRDefault="006B0EA5" w:rsidP="00D931EA">
            <w:pPr>
              <w:pStyle w:val="TableRow"/>
            </w:pPr>
            <w:r>
              <w:t>1</w:t>
            </w:r>
            <w:r w:rsidR="00652BD9">
              <w:t>0</w:t>
            </w:r>
            <w:r>
              <w:t>/202</w:t>
            </w:r>
            <w:r w:rsidR="00652BD9">
              <w:t>5</w:t>
            </w:r>
          </w:p>
        </w:tc>
      </w:tr>
      <w:tr w:rsidR="00E66558" w14:paraId="2A7D54CC" w14:textId="77777777" w:rsidTr="01D98F3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CA" w14:textId="77777777" w:rsidR="00E66558" w:rsidRDefault="009D71E8" w:rsidP="0067480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216E907B" w:rsidR="00E66558" w:rsidRDefault="006B0EA5">
            <w:pPr>
              <w:pStyle w:val="TableRow"/>
            </w:pPr>
            <w:r>
              <w:t>John Beith</w:t>
            </w:r>
          </w:p>
        </w:tc>
      </w:tr>
      <w:tr w:rsidR="00E66558" w14:paraId="2A7D54CF" w14:textId="77777777" w:rsidTr="01D98F3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CD" w14:textId="77777777" w:rsidR="00E66558" w:rsidRDefault="009D71E8" w:rsidP="0067480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21BBB6F5" w:rsidR="00E66558" w:rsidRDefault="00D931EA">
            <w:pPr>
              <w:pStyle w:val="TableRow"/>
            </w:pPr>
            <w:r>
              <w:t>Tom Shrimpling</w:t>
            </w:r>
          </w:p>
        </w:tc>
      </w:tr>
      <w:tr w:rsidR="00E66558" w14:paraId="2A7D54D2" w14:textId="77777777" w:rsidTr="01D98F3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0" w14:textId="77777777" w:rsidR="00E66558" w:rsidRDefault="009D71E8" w:rsidP="0067480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1" w14:textId="56DAD53A" w:rsidR="00E66558" w:rsidRDefault="006B0EA5">
            <w:pPr>
              <w:pStyle w:val="TableRow"/>
            </w:pPr>
            <w:r>
              <w:t>Anne Madden</w:t>
            </w:r>
          </w:p>
        </w:tc>
      </w:tr>
      <w:bookmarkEnd w:id="2"/>
      <w:bookmarkEnd w:id="3"/>
      <w:bookmarkEnd w:id="4"/>
    </w:tbl>
    <w:p w14:paraId="778B4FCD" w14:textId="77777777" w:rsidR="003832E7" w:rsidRDefault="003832E7">
      <w:pPr>
        <w:spacing w:before="480" w:line="240" w:lineRule="auto"/>
        <w:rPr>
          <w:b/>
          <w:color w:val="104F75"/>
          <w:sz w:val="32"/>
          <w:szCs w:val="32"/>
        </w:rPr>
      </w:pPr>
    </w:p>
    <w:p w14:paraId="440A20D2" w14:textId="77777777" w:rsidR="003832E7" w:rsidRDefault="003832E7">
      <w:pPr>
        <w:spacing w:before="480" w:line="240" w:lineRule="auto"/>
        <w:rPr>
          <w:b/>
          <w:color w:val="104F75"/>
          <w:sz w:val="32"/>
          <w:szCs w:val="32"/>
        </w:rPr>
      </w:pPr>
    </w:p>
    <w:p w14:paraId="2A7D54D3" w14:textId="4A268D5E" w:rsidR="00E66558" w:rsidRDefault="009D71E8">
      <w:pPr>
        <w:spacing w:before="480" w:line="240" w:lineRule="auto"/>
        <w:rPr>
          <w:b/>
          <w:color w:val="104F75"/>
          <w:sz w:val="32"/>
          <w:szCs w:val="32"/>
        </w:rPr>
      </w:pPr>
      <w:r>
        <w:rPr>
          <w:b/>
          <w:color w:val="104F75"/>
          <w:sz w:val="32"/>
          <w:szCs w:val="32"/>
        </w:rPr>
        <w:lastRenderedPageBreak/>
        <w:t>Funding overview</w:t>
      </w:r>
    </w:p>
    <w:tbl>
      <w:tblPr>
        <w:tblW w:w="14596" w:type="dxa"/>
        <w:tblCellMar>
          <w:left w:w="10" w:type="dxa"/>
          <w:right w:w="10" w:type="dxa"/>
        </w:tblCellMar>
        <w:tblLook w:val="04A0" w:firstRow="1" w:lastRow="0" w:firstColumn="1" w:lastColumn="0" w:noHBand="0" w:noVBand="1"/>
      </w:tblPr>
      <w:tblGrid>
        <w:gridCol w:w="6516"/>
        <w:gridCol w:w="8080"/>
      </w:tblGrid>
      <w:tr w:rsidR="00E66558" w14:paraId="2A7D54D6" w14:textId="77777777" w:rsidTr="003832E7">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003832E7">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747D542A" w:rsidR="00E66558" w:rsidRDefault="0098516C" w:rsidP="00D931EA">
            <w:pPr>
              <w:pStyle w:val="TableRow"/>
            </w:pPr>
            <w:r>
              <w:t>£60440</w:t>
            </w:r>
          </w:p>
        </w:tc>
      </w:tr>
      <w:tr w:rsidR="00E66558" w14:paraId="2A7D54DC" w14:textId="77777777" w:rsidTr="003832E7">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5A597242" w:rsidR="00E66558" w:rsidRDefault="0098516C" w:rsidP="00D931EA">
            <w:pPr>
              <w:pStyle w:val="TableRow"/>
            </w:pPr>
            <w:r>
              <w:t>£4532</w:t>
            </w:r>
          </w:p>
        </w:tc>
      </w:tr>
      <w:tr w:rsidR="00E66558" w14:paraId="2A7D54DF" w14:textId="77777777" w:rsidTr="003832E7">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E" w14:textId="5CCBD719" w:rsidR="00E66558" w:rsidRPr="006B0EA5" w:rsidRDefault="1DC22A83" w:rsidP="00674803">
            <w:pPr>
              <w:pStyle w:val="TableRow"/>
              <w:rPr>
                <w:color w:val="FF0000"/>
              </w:rPr>
            </w:pPr>
            <w:r w:rsidRPr="01D98F35">
              <w:rPr>
                <w:color w:val="auto"/>
              </w:rPr>
              <w:t>£0</w:t>
            </w:r>
          </w:p>
        </w:tc>
      </w:tr>
      <w:tr w:rsidR="00E66558" w14:paraId="2A7D54E3" w14:textId="77777777" w:rsidTr="003832E7">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E2" w14:textId="0C2BD3E5" w:rsidR="00E66558" w:rsidRDefault="0098516C" w:rsidP="00674803">
            <w:pPr>
              <w:pStyle w:val="TableRow"/>
            </w:pPr>
            <w:r>
              <w:t>£64972</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14737" w:type="dxa"/>
        <w:tblCellMar>
          <w:left w:w="10" w:type="dxa"/>
          <w:right w:w="10" w:type="dxa"/>
        </w:tblCellMar>
        <w:tblLook w:val="04A0" w:firstRow="1" w:lastRow="0" w:firstColumn="1" w:lastColumn="0" w:noHBand="0" w:noVBand="1"/>
      </w:tblPr>
      <w:tblGrid>
        <w:gridCol w:w="14737"/>
      </w:tblGrid>
      <w:tr w:rsidR="00E66558" w14:paraId="2A7D54EA" w14:textId="77777777" w:rsidTr="003832E7">
        <w:tc>
          <w:tcPr>
            <w:tcW w:w="14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E2EBE" w14:textId="029D7E0D" w:rsidR="00674803" w:rsidRDefault="00674803">
            <w:pPr>
              <w:spacing w:before="120"/>
              <w:rPr>
                <w:i/>
                <w:iCs/>
              </w:rPr>
            </w:pPr>
            <w:r>
              <w:rPr>
                <w:i/>
                <w:iCs/>
              </w:rPr>
              <w:t xml:space="preserve">At Brooklands we want our disadvantaged pupils to feel </w:t>
            </w:r>
            <w:r w:rsidR="008F0A3D">
              <w:rPr>
                <w:i/>
                <w:iCs/>
              </w:rPr>
              <w:t>as valued and respected as any other group</w:t>
            </w:r>
            <w:r>
              <w:rPr>
                <w:i/>
                <w:iCs/>
              </w:rPr>
              <w:t xml:space="preserve"> of our school community. We aim that, regardless of a child’s socio-economic context, they are given the same opportunities to succeed as their non-disadvantaged peers. </w:t>
            </w:r>
          </w:p>
          <w:p w14:paraId="2A7D54E6" w14:textId="60A7D8DA" w:rsidR="00E66558" w:rsidRDefault="00674803">
            <w:pPr>
              <w:spacing w:before="120"/>
              <w:rPr>
                <w:i/>
                <w:iCs/>
              </w:rPr>
            </w:pPr>
            <w:r>
              <w:rPr>
                <w:i/>
                <w:iCs/>
              </w:rPr>
              <w:t>Our aims lie in three key areas: academic achievement, wellbeing and social/emotional development</w:t>
            </w:r>
            <w:r w:rsidR="008F0A3D">
              <w:rPr>
                <w:i/>
                <w:iCs/>
              </w:rPr>
              <w:t>,</w:t>
            </w:r>
            <w:r>
              <w:rPr>
                <w:i/>
                <w:iCs/>
              </w:rPr>
              <w:t xml:space="preserve"> and wider enrichment opportunities.</w:t>
            </w:r>
          </w:p>
          <w:p w14:paraId="05BAF7CD" w14:textId="4819DC47" w:rsidR="00674803" w:rsidRDefault="00674803">
            <w:pPr>
              <w:spacing w:before="120"/>
              <w:rPr>
                <w:i/>
                <w:iCs/>
              </w:rPr>
            </w:pPr>
            <w:r>
              <w:rPr>
                <w:i/>
                <w:iCs/>
              </w:rPr>
              <w:t xml:space="preserve">Our plan works towards achieving these objectives through a broad deployment of resources into all these three areas which we believe </w:t>
            </w:r>
            <w:r w:rsidR="00BF01E7">
              <w:rPr>
                <w:i/>
                <w:iCs/>
              </w:rPr>
              <w:t>have equal importance</w:t>
            </w:r>
            <w:r>
              <w:rPr>
                <w:i/>
                <w:iCs/>
              </w:rPr>
              <w:t xml:space="preserve"> and </w:t>
            </w:r>
            <w:r w:rsidR="00BF01E7">
              <w:rPr>
                <w:i/>
                <w:iCs/>
              </w:rPr>
              <w:t xml:space="preserve">are largely interchangeable.  </w:t>
            </w:r>
          </w:p>
          <w:p w14:paraId="1DA38308" w14:textId="15E507AB" w:rsidR="00E66558" w:rsidRDefault="00674803" w:rsidP="00F33CF1">
            <w:pPr>
              <w:spacing w:before="120"/>
              <w:rPr>
                <w:i/>
                <w:iCs/>
              </w:rPr>
            </w:pPr>
            <w:r>
              <w:rPr>
                <w:i/>
                <w:iCs/>
              </w:rPr>
              <w:t xml:space="preserve">Children will be supported to </w:t>
            </w:r>
            <w:r w:rsidR="00F33CF1">
              <w:rPr>
                <w:i/>
                <w:iCs/>
              </w:rPr>
              <w:t>achieve well academically by receiving extra support to fill gaps in learning, improve teacher practice and</w:t>
            </w:r>
            <w:r w:rsidR="00BF01E7">
              <w:rPr>
                <w:i/>
                <w:iCs/>
              </w:rPr>
              <w:t xml:space="preserve"> by</w:t>
            </w:r>
            <w:r w:rsidR="00F33CF1">
              <w:rPr>
                <w:i/>
                <w:iCs/>
              </w:rPr>
              <w:t xml:space="preserve"> levelling starting points. Those pupils requiring wellbeing support will be helped to develop a positive view of school, will receive help to overcome and regulate their emotions and as a result be happier and better learners. They will also be given wider opportunities that their peers may experience that would not otherwise be readily available to them, supporting their self-esteem and providing contextual understanding for their classroom learning. </w:t>
            </w:r>
          </w:p>
          <w:p w14:paraId="0E63EAD0" w14:textId="0D9AB931" w:rsidR="00640520" w:rsidRDefault="00640520" w:rsidP="00F33CF1">
            <w:pPr>
              <w:spacing w:before="120"/>
              <w:rPr>
                <w:i/>
                <w:iCs/>
              </w:rPr>
            </w:pPr>
            <w:r>
              <w:rPr>
                <w:i/>
                <w:iCs/>
              </w:rPr>
              <w:t>W</w:t>
            </w:r>
            <w:r w:rsidR="000243A6">
              <w:rPr>
                <w:i/>
                <w:iCs/>
              </w:rPr>
              <w:t>e believe in</w:t>
            </w:r>
            <w:r>
              <w:rPr>
                <w:i/>
                <w:iCs/>
              </w:rPr>
              <w:t xml:space="preserve"> a </w:t>
            </w:r>
            <w:r w:rsidR="000243A6">
              <w:rPr>
                <w:i/>
                <w:iCs/>
              </w:rPr>
              <w:t>‘</w:t>
            </w:r>
            <w:r>
              <w:rPr>
                <w:i/>
                <w:iCs/>
              </w:rPr>
              <w:t>high tide raises all ships</w:t>
            </w:r>
            <w:r w:rsidR="000243A6">
              <w:rPr>
                <w:i/>
                <w:iCs/>
              </w:rPr>
              <w:t>’</w:t>
            </w:r>
            <w:r>
              <w:rPr>
                <w:i/>
                <w:iCs/>
              </w:rPr>
              <w:t xml:space="preserve"> approach, and that if we implement initiatives targeted at our disadvantaged pupils, that where possible we should attempt to roll this out to all pupils to benefit from. This would achieve our aim of our disadvantaged pupils achieving in-line with their non-disadvantaged peers nationally, whilst improving outcomes for all. That said, we have a relatively small proportion of disadvantaged children and so whilst each pupil will be worth more in terms of attainment and progress data, it also allows us to know our children individually, ensure they are receiving access to a wide range of educational opportunities and to closely monitor their progress.</w:t>
            </w:r>
          </w:p>
          <w:p w14:paraId="2A7D54E9" w14:textId="41240E00" w:rsidR="00F33CF1" w:rsidRPr="00F33CF1" w:rsidRDefault="00F33CF1" w:rsidP="00F33CF1">
            <w:pPr>
              <w:spacing w:before="120"/>
              <w:rPr>
                <w:i/>
                <w:iCs/>
              </w:rPr>
            </w:pPr>
            <w:r>
              <w:rPr>
                <w:i/>
                <w:iCs/>
              </w:rPr>
              <w:t>All these strategies will be regularly reviewed for impact and adjusted as appropriate to seek the best value for money for our children.</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2396"/>
        <w:gridCol w:w="12992"/>
      </w:tblGrid>
      <w:tr w:rsidR="00E66558" w14:paraId="2A7D54EF" w14:textId="77777777" w:rsidTr="7C7D7C2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7C7D7C2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77777777" w:rsidR="00E66558" w:rsidRPr="006B0EA5" w:rsidRDefault="009D71E8">
            <w:pPr>
              <w:pStyle w:val="TableRow"/>
              <w:rPr>
                <w:sz w:val="22"/>
                <w:szCs w:val="22"/>
              </w:rPr>
            </w:pPr>
            <w:r w:rsidRPr="006B0EA5">
              <w:rPr>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1" w14:textId="72F26AAA" w:rsidR="00E66558" w:rsidRPr="006B0EA5" w:rsidRDefault="0E4D87B6" w:rsidP="009432DD">
            <w:pPr>
              <w:pStyle w:val="TableRowCentered"/>
              <w:jc w:val="left"/>
              <w:rPr>
                <w:sz w:val="22"/>
                <w:szCs w:val="22"/>
              </w:rPr>
            </w:pPr>
            <w:r w:rsidRPr="7C7D7C26">
              <w:rPr>
                <w:sz w:val="22"/>
                <w:szCs w:val="22"/>
              </w:rPr>
              <w:t>Lower academic starting points compared to peers</w:t>
            </w:r>
          </w:p>
        </w:tc>
      </w:tr>
      <w:tr w:rsidR="009432DD" w14:paraId="2A7D54F5" w14:textId="77777777" w:rsidTr="7C7D7C2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77777777" w:rsidR="009432DD" w:rsidRPr="006B0EA5" w:rsidRDefault="009432DD" w:rsidP="009432DD">
            <w:pPr>
              <w:pStyle w:val="TableRow"/>
              <w:rPr>
                <w:sz w:val="22"/>
                <w:szCs w:val="22"/>
              </w:rPr>
            </w:pPr>
            <w:r w:rsidRPr="006B0EA5">
              <w:rPr>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4" w14:textId="30FBC7D2" w:rsidR="009432DD" w:rsidRPr="006B0EA5" w:rsidRDefault="2CAFBDA6" w:rsidP="009432DD">
            <w:pPr>
              <w:pStyle w:val="TableRowCentered"/>
              <w:jc w:val="left"/>
              <w:rPr>
                <w:sz w:val="22"/>
                <w:szCs w:val="22"/>
              </w:rPr>
            </w:pPr>
            <w:r w:rsidRPr="7C7D7C26">
              <w:rPr>
                <w:sz w:val="22"/>
                <w:szCs w:val="22"/>
              </w:rPr>
              <w:t>Lower levels of early reading and access to the curriculum</w:t>
            </w:r>
          </w:p>
        </w:tc>
      </w:tr>
      <w:tr w:rsidR="009432DD" w14:paraId="2A7D54F8" w14:textId="77777777" w:rsidTr="7C7D7C2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6" w14:textId="77777777" w:rsidR="009432DD" w:rsidRPr="006B0EA5" w:rsidRDefault="009432DD" w:rsidP="009432DD">
            <w:pPr>
              <w:pStyle w:val="TableRow"/>
              <w:rPr>
                <w:sz w:val="22"/>
                <w:szCs w:val="22"/>
              </w:rPr>
            </w:pPr>
            <w:r w:rsidRPr="006B0EA5">
              <w:rPr>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7" w14:textId="6DF29258" w:rsidR="009432DD" w:rsidRPr="006B0EA5" w:rsidRDefault="4D43F8A9" w:rsidP="009432DD">
            <w:pPr>
              <w:pStyle w:val="TableRowCentered"/>
              <w:jc w:val="left"/>
              <w:rPr>
                <w:sz w:val="22"/>
                <w:szCs w:val="22"/>
              </w:rPr>
            </w:pPr>
            <w:r w:rsidRPr="7C7D7C26">
              <w:rPr>
                <w:sz w:val="22"/>
                <w:szCs w:val="22"/>
              </w:rPr>
              <w:t>Lower levels of social and emotional development</w:t>
            </w:r>
          </w:p>
        </w:tc>
      </w:tr>
      <w:tr w:rsidR="009432DD" w14:paraId="2A7D54FB" w14:textId="77777777" w:rsidTr="7C7D7C2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77777777" w:rsidR="009432DD" w:rsidRPr="006B0EA5" w:rsidRDefault="009432DD" w:rsidP="009432DD">
            <w:pPr>
              <w:pStyle w:val="TableRow"/>
              <w:rPr>
                <w:sz w:val="22"/>
                <w:szCs w:val="22"/>
              </w:rPr>
            </w:pPr>
            <w:r w:rsidRPr="006B0EA5">
              <w:rPr>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A" w14:textId="2E4E667D" w:rsidR="009432DD" w:rsidRPr="006B0EA5" w:rsidRDefault="05E29EF3" w:rsidP="7C7D7C26">
            <w:pPr>
              <w:pStyle w:val="TableRowCentered"/>
              <w:jc w:val="left"/>
            </w:pPr>
            <w:r w:rsidRPr="7C7D7C26">
              <w:rPr>
                <w:rFonts w:eastAsia="Arial" w:cs="Arial"/>
                <w:color w:val="0D0D0D" w:themeColor="text1" w:themeTint="F2"/>
                <w:sz w:val="22"/>
                <w:szCs w:val="22"/>
              </w:rPr>
              <w:t>Lost learning time and gaps in learning caused by the pandemic</w:t>
            </w:r>
          </w:p>
        </w:tc>
      </w:tr>
      <w:tr w:rsidR="009432DD" w14:paraId="2A7D54FE" w14:textId="77777777" w:rsidTr="7C7D7C2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C" w14:textId="77777777" w:rsidR="009432DD" w:rsidRPr="006B0EA5" w:rsidRDefault="009432DD" w:rsidP="009432DD">
            <w:pPr>
              <w:pStyle w:val="TableRow"/>
              <w:rPr>
                <w:sz w:val="22"/>
                <w:szCs w:val="22"/>
              </w:rPr>
            </w:pPr>
            <w:r w:rsidRPr="006B0EA5">
              <w:rPr>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D" w14:textId="5E4CD738" w:rsidR="009432DD" w:rsidRPr="006B0EA5" w:rsidRDefault="009432DD" w:rsidP="009432DD">
            <w:pPr>
              <w:pStyle w:val="TableRowCentered"/>
              <w:jc w:val="left"/>
              <w:rPr>
                <w:iCs/>
                <w:sz w:val="22"/>
                <w:szCs w:val="22"/>
              </w:rPr>
            </w:pPr>
            <w:r>
              <w:rPr>
                <w:iCs/>
                <w:sz w:val="22"/>
                <w:szCs w:val="22"/>
              </w:rPr>
              <w:t xml:space="preserve">Lack of enrichment opportunities </w:t>
            </w: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6430"/>
        <w:gridCol w:w="8958"/>
      </w:tblGrid>
      <w:tr w:rsidR="00E66558" w14:paraId="2A7D5503" w14:textId="77777777" w:rsidTr="69020E1A">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5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69020E1A">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504" w14:textId="76DE36C2" w:rsidR="00E66558" w:rsidRPr="006B0EA5" w:rsidRDefault="006B0EA5" w:rsidP="003D00E0">
            <w:pPr>
              <w:pStyle w:val="TableRow"/>
            </w:pPr>
            <w:r>
              <w:rPr>
                <w:iCs/>
                <w:sz w:val="22"/>
                <w:szCs w:val="22"/>
              </w:rPr>
              <w:t>Disadvantaged pu</w:t>
            </w:r>
            <w:r w:rsidR="00DF123D">
              <w:rPr>
                <w:iCs/>
                <w:sz w:val="22"/>
                <w:szCs w:val="22"/>
              </w:rPr>
              <w:t xml:space="preserve">pils make accelerated progress in </w:t>
            </w:r>
            <w:r w:rsidR="003D00E0">
              <w:rPr>
                <w:iCs/>
                <w:sz w:val="22"/>
                <w:szCs w:val="22"/>
              </w:rPr>
              <w:t xml:space="preserve">subjects across the </w:t>
            </w:r>
            <w:r w:rsidR="00415891">
              <w:rPr>
                <w:iCs/>
                <w:sz w:val="22"/>
                <w:szCs w:val="22"/>
              </w:rPr>
              <w:t>curriculum, particularly in reading</w:t>
            </w:r>
          </w:p>
        </w:tc>
        <w:tc>
          <w:tcPr>
            <w:tcW w:w="5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2490724" w14:textId="77777777" w:rsidR="00EC4C68" w:rsidRDefault="00DF123D" w:rsidP="009432DD">
            <w:pPr>
              <w:pStyle w:val="TableRowCentered"/>
              <w:numPr>
                <w:ilvl w:val="0"/>
                <w:numId w:val="21"/>
              </w:numPr>
              <w:jc w:val="left"/>
              <w:rPr>
                <w:sz w:val="22"/>
                <w:szCs w:val="22"/>
              </w:rPr>
            </w:pPr>
            <w:r>
              <w:rPr>
                <w:sz w:val="22"/>
                <w:szCs w:val="22"/>
              </w:rPr>
              <w:t>Attainment in-line with non-disadvantaged peers nationally</w:t>
            </w:r>
          </w:p>
          <w:p w14:paraId="2A7D5505" w14:textId="039F06B3" w:rsidR="00DF123D" w:rsidRPr="009432DD" w:rsidRDefault="00EC4C68" w:rsidP="009432DD">
            <w:pPr>
              <w:pStyle w:val="TableRowCentered"/>
              <w:numPr>
                <w:ilvl w:val="0"/>
                <w:numId w:val="21"/>
              </w:numPr>
              <w:jc w:val="left"/>
              <w:rPr>
                <w:sz w:val="22"/>
                <w:szCs w:val="22"/>
              </w:rPr>
            </w:pPr>
            <w:r>
              <w:rPr>
                <w:sz w:val="22"/>
                <w:szCs w:val="22"/>
              </w:rPr>
              <w:t>Internal data measures show that 70% of disadvantaged pupils achieving the expected level across the curriculum</w:t>
            </w:r>
          </w:p>
        </w:tc>
      </w:tr>
      <w:tr w:rsidR="00E66558" w14:paraId="2A7D5509" w14:textId="77777777" w:rsidTr="69020E1A">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507" w14:textId="4CA13253" w:rsidR="00E66558" w:rsidRDefault="00D07543" w:rsidP="00674803">
            <w:pPr>
              <w:pStyle w:val="TableRow"/>
              <w:rPr>
                <w:sz w:val="22"/>
                <w:szCs w:val="22"/>
              </w:rPr>
            </w:pPr>
            <w:r>
              <w:rPr>
                <w:sz w:val="22"/>
                <w:szCs w:val="22"/>
              </w:rPr>
              <w:t>Disadvantaged pupils engage positively with school, showing excellent attendance, conduct, behaviour for learning and report being happy at school.</w:t>
            </w:r>
          </w:p>
        </w:tc>
        <w:tc>
          <w:tcPr>
            <w:tcW w:w="5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F5919B6" w14:textId="641B3E67" w:rsidR="00D07543" w:rsidRDefault="00D07543" w:rsidP="00674803">
            <w:pPr>
              <w:pStyle w:val="TableRowCentered"/>
              <w:numPr>
                <w:ilvl w:val="0"/>
                <w:numId w:val="22"/>
              </w:numPr>
              <w:jc w:val="left"/>
              <w:rPr>
                <w:sz w:val="22"/>
                <w:szCs w:val="22"/>
              </w:rPr>
            </w:pPr>
            <w:r>
              <w:rPr>
                <w:sz w:val="22"/>
                <w:szCs w:val="22"/>
              </w:rPr>
              <w:t xml:space="preserve">Attendance for disadvantaged pupils </w:t>
            </w:r>
            <w:r w:rsidR="009432DD">
              <w:rPr>
                <w:sz w:val="22"/>
                <w:szCs w:val="22"/>
              </w:rPr>
              <w:t>at least 95%</w:t>
            </w:r>
          </w:p>
          <w:p w14:paraId="2DAB0535" w14:textId="60C214C2" w:rsidR="00D07543" w:rsidRDefault="00C35517" w:rsidP="00674803">
            <w:pPr>
              <w:pStyle w:val="TableRowCentered"/>
              <w:numPr>
                <w:ilvl w:val="0"/>
                <w:numId w:val="22"/>
              </w:numPr>
              <w:jc w:val="left"/>
              <w:rPr>
                <w:sz w:val="22"/>
                <w:szCs w:val="22"/>
              </w:rPr>
            </w:pPr>
            <w:r>
              <w:rPr>
                <w:sz w:val="22"/>
                <w:szCs w:val="22"/>
              </w:rPr>
              <w:t>Less than 10% of disadvantaged pupils have a behaviour incident logged against them</w:t>
            </w:r>
          </w:p>
          <w:p w14:paraId="12604AA4" w14:textId="77777777" w:rsidR="00D07543" w:rsidRDefault="00D07543" w:rsidP="00674803">
            <w:pPr>
              <w:pStyle w:val="TableRowCentered"/>
              <w:numPr>
                <w:ilvl w:val="0"/>
                <w:numId w:val="22"/>
              </w:numPr>
              <w:jc w:val="left"/>
              <w:rPr>
                <w:sz w:val="22"/>
                <w:szCs w:val="22"/>
              </w:rPr>
            </w:pPr>
            <w:r>
              <w:rPr>
                <w:sz w:val="22"/>
                <w:szCs w:val="22"/>
              </w:rPr>
              <w:t>Pupil reports evidence positive learning behaviours and engagement with learning</w:t>
            </w:r>
          </w:p>
          <w:p w14:paraId="1FADD6BB" w14:textId="77777777" w:rsidR="00D07543" w:rsidRDefault="00D07543" w:rsidP="00674803">
            <w:pPr>
              <w:pStyle w:val="TableRowCentered"/>
              <w:numPr>
                <w:ilvl w:val="0"/>
                <w:numId w:val="22"/>
              </w:numPr>
              <w:jc w:val="left"/>
              <w:rPr>
                <w:sz w:val="22"/>
                <w:szCs w:val="22"/>
              </w:rPr>
            </w:pPr>
            <w:r>
              <w:rPr>
                <w:sz w:val="22"/>
                <w:szCs w:val="22"/>
              </w:rPr>
              <w:t xml:space="preserve">Pupil voice evidences </w:t>
            </w:r>
            <w:r w:rsidR="00415891">
              <w:rPr>
                <w:sz w:val="22"/>
                <w:szCs w:val="22"/>
              </w:rPr>
              <w:t xml:space="preserve">95% of </w:t>
            </w:r>
            <w:r>
              <w:rPr>
                <w:sz w:val="22"/>
                <w:szCs w:val="22"/>
              </w:rPr>
              <w:t>pupils are happy to attend school</w:t>
            </w:r>
          </w:p>
          <w:p w14:paraId="2A7D5508" w14:textId="4FB037D1" w:rsidR="00764470" w:rsidRDefault="78B251C0" w:rsidP="00674803">
            <w:pPr>
              <w:pStyle w:val="TableRowCentered"/>
              <w:numPr>
                <w:ilvl w:val="0"/>
                <w:numId w:val="22"/>
              </w:numPr>
              <w:jc w:val="left"/>
              <w:rPr>
                <w:sz w:val="22"/>
                <w:szCs w:val="22"/>
              </w:rPr>
            </w:pPr>
            <w:r w:rsidRPr="69020E1A">
              <w:rPr>
                <w:sz w:val="22"/>
                <w:szCs w:val="22"/>
              </w:rPr>
              <w:t>Mental Health Pr</w:t>
            </w:r>
            <w:r w:rsidR="272DDC21" w:rsidRPr="69020E1A">
              <w:rPr>
                <w:sz w:val="22"/>
                <w:szCs w:val="22"/>
              </w:rPr>
              <w:t>actitioner</w:t>
            </w:r>
            <w:r w:rsidR="7D48DF24" w:rsidRPr="69020E1A">
              <w:rPr>
                <w:sz w:val="22"/>
                <w:szCs w:val="22"/>
              </w:rPr>
              <w:t xml:space="preserve"> counselling service established within school as part of a SEMH Inclusion structure, including </w:t>
            </w:r>
            <w:r w:rsidR="26627E6B" w:rsidRPr="69020E1A">
              <w:rPr>
                <w:sz w:val="22"/>
                <w:szCs w:val="22"/>
              </w:rPr>
              <w:t>Inclusion Team and clear referral system</w:t>
            </w:r>
          </w:p>
        </w:tc>
      </w:tr>
      <w:tr w:rsidR="00E66558" w14:paraId="2A7D550F" w14:textId="77777777" w:rsidTr="69020E1A">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50D" w14:textId="2196D90A" w:rsidR="00E66558" w:rsidRDefault="00415891" w:rsidP="006B2E2F">
            <w:pPr>
              <w:pStyle w:val="TableRow"/>
              <w:rPr>
                <w:sz w:val="22"/>
                <w:szCs w:val="22"/>
              </w:rPr>
            </w:pPr>
            <w:r>
              <w:rPr>
                <w:sz w:val="22"/>
                <w:szCs w:val="22"/>
              </w:rPr>
              <w:lastRenderedPageBreak/>
              <w:t>Disadvantaged pupils are supported to engage in extra curricular activities, including school trips</w:t>
            </w:r>
            <w:r w:rsidR="00764470">
              <w:rPr>
                <w:sz w:val="22"/>
                <w:szCs w:val="22"/>
              </w:rPr>
              <w:t>, music lessons</w:t>
            </w:r>
            <w:r>
              <w:rPr>
                <w:sz w:val="22"/>
                <w:szCs w:val="22"/>
              </w:rPr>
              <w:t xml:space="preserve"> and extra curricular clubs.</w:t>
            </w:r>
            <w:r w:rsidR="000816BF">
              <w:rPr>
                <w:sz w:val="22"/>
                <w:szCs w:val="22"/>
              </w:rPr>
              <w:t xml:space="preserve"> Money is allocated to cover the cost of school uniform.</w:t>
            </w:r>
          </w:p>
        </w:tc>
        <w:tc>
          <w:tcPr>
            <w:tcW w:w="5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EE3135A" w14:textId="77777777" w:rsidR="00764470" w:rsidRDefault="00764470" w:rsidP="00764470">
            <w:pPr>
              <w:pStyle w:val="TableRowCentered"/>
              <w:numPr>
                <w:ilvl w:val="0"/>
                <w:numId w:val="26"/>
              </w:numPr>
              <w:jc w:val="left"/>
              <w:rPr>
                <w:sz w:val="22"/>
                <w:szCs w:val="22"/>
              </w:rPr>
            </w:pPr>
            <w:r>
              <w:rPr>
                <w:sz w:val="22"/>
                <w:szCs w:val="22"/>
              </w:rPr>
              <w:t>100% of disadvantaged pupils attend educational visits (non-residential) free of charge</w:t>
            </w:r>
          </w:p>
          <w:p w14:paraId="230CB614" w14:textId="77777777" w:rsidR="00764470" w:rsidRDefault="00764470" w:rsidP="00764470">
            <w:pPr>
              <w:pStyle w:val="TableRowCentered"/>
              <w:numPr>
                <w:ilvl w:val="0"/>
                <w:numId w:val="26"/>
              </w:numPr>
              <w:jc w:val="left"/>
              <w:rPr>
                <w:sz w:val="22"/>
                <w:szCs w:val="22"/>
              </w:rPr>
            </w:pPr>
            <w:r>
              <w:rPr>
                <w:sz w:val="22"/>
                <w:szCs w:val="22"/>
              </w:rPr>
              <w:t>100% of disadvantaged pupils’ parents are offered a payment plan to attend residential trips, with school covering 50% of the cost</w:t>
            </w:r>
          </w:p>
          <w:p w14:paraId="2927D984" w14:textId="77777777" w:rsidR="00E66558" w:rsidRDefault="00567AAE" w:rsidP="00567AAE">
            <w:pPr>
              <w:pStyle w:val="TableRowCentered"/>
              <w:numPr>
                <w:ilvl w:val="0"/>
                <w:numId w:val="26"/>
              </w:numPr>
              <w:jc w:val="left"/>
              <w:rPr>
                <w:sz w:val="22"/>
                <w:szCs w:val="22"/>
              </w:rPr>
            </w:pPr>
            <w:r>
              <w:rPr>
                <w:sz w:val="22"/>
                <w:szCs w:val="22"/>
              </w:rPr>
              <w:t>100</w:t>
            </w:r>
            <w:r w:rsidR="00764470">
              <w:rPr>
                <w:sz w:val="22"/>
                <w:szCs w:val="22"/>
              </w:rPr>
              <w:t>% of disadvantaged pupils have attended a school club (internal or external) at some point during the academic year, with school covering the cost of a</w:t>
            </w:r>
            <w:r>
              <w:rPr>
                <w:sz w:val="22"/>
                <w:szCs w:val="22"/>
              </w:rPr>
              <w:t>n external club for a term</w:t>
            </w:r>
          </w:p>
          <w:p w14:paraId="666A229D" w14:textId="77777777" w:rsidR="00567AAE" w:rsidRDefault="00567AAE" w:rsidP="00567AAE">
            <w:pPr>
              <w:pStyle w:val="TableRowCentered"/>
              <w:numPr>
                <w:ilvl w:val="0"/>
                <w:numId w:val="26"/>
              </w:numPr>
              <w:jc w:val="left"/>
              <w:rPr>
                <w:sz w:val="22"/>
                <w:szCs w:val="22"/>
              </w:rPr>
            </w:pPr>
            <w:r>
              <w:rPr>
                <w:sz w:val="22"/>
                <w:szCs w:val="22"/>
              </w:rPr>
              <w:t>25% of pupils have accessed 1:1 music tuition, with school covering the cost for a term</w:t>
            </w:r>
          </w:p>
          <w:p w14:paraId="2A7D550E" w14:textId="3094F30C" w:rsidR="000816BF" w:rsidRDefault="000816BF" w:rsidP="000816BF">
            <w:pPr>
              <w:pStyle w:val="TableRowCentered"/>
              <w:numPr>
                <w:ilvl w:val="0"/>
                <w:numId w:val="26"/>
              </w:numPr>
              <w:jc w:val="left"/>
              <w:rPr>
                <w:sz w:val="22"/>
                <w:szCs w:val="22"/>
              </w:rPr>
            </w:pPr>
            <w:r>
              <w:rPr>
                <w:sz w:val="22"/>
                <w:szCs w:val="22"/>
              </w:rPr>
              <w:t>100% of families who request help with uniform receive effective financial support</w:t>
            </w:r>
          </w:p>
        </w:tc>
      </w:tr>
    </w:tbl>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217D1649" w:rsidR="00E66558" w:rsidRDefault="009D71E8">
      <w:pPr>
        <w:pStyle w:val="Heading3"/>
      </w:pPr>
      <w:r>
        <w:t>Teaching (for example, CPD, recruitment and retention</w:t>
      </w:r>
      <w:r w:rsidR="00960888">
        <w:t>, resources</w:t>
      </w:r>
      <w:r>
        <w:t>)</w:t>
      </w:r>
    </w:p>
    <w:p w14:paraId="2A7D5515" w14:textId="0B58E43A" w:rsidR="00E66558" w:rsidRPr="000816BF" w:rsidRDefault="003D00E0" w:rsidP="01D98F35">
      <w:pPr>
        <w:rPr>
          <w:i/>
          <w:iCs/>
        </w:rPr>
      </w:pPr>
      <w:r>
        <w:t xml:space="preserve">Budgeted cost: </w:t>
      </w:r>
      <w:r w:rsidRPr="01D98F35">
        <w:rPr>
          <w:i/>
          <w:iCs/>
        </w:rPr>
        <w:t>£</w:t>
      </w:r>
      <w:r w:rsidR="00960888">
        <w:rPr>
          <w:i/>
          <w:iCs/>
        </w:rPr>
        <w:t>8</w:t>
      </w:r>
      <w:r w:rsidR="00E31F34" w:rsidRPr="01D98F35">
        <w:rPr>
          <w:i/>
          <w:iCs/>
        </w:rPr>
        <w:t>,</w:t>
      </w:r>
      <w:r w:rsidR="001B4C3D">
        <w:rPr>
          <w:i/>
          <w:iCs/>
        </w:rPr>
        <w:t>9</w:t>
      </w:r>
      <w:r w:rsidR="00960888">
        <w:rPr>
          <w:i/>
          <w:iCs/>
        </w:rPr>
        <w:t>00</w:t>
      </w:r>
    </w:p>
    <w:tbl>
      <w:tblPr>
        <w:tblW w:w="5000" w:type="pct"/>
        <w:tblCellMar>
          <w:left w:w="10" w:type="dxa"/>
          <w:right w:w="10" w:type="dxa"/>
        </w:tblCellMar>
        <w:tblLook w:val="04A0" w:firstRow="1" w:lastRow="0" w:firstColumn="1" w:lastColumn="0" w:noHBand="0" w:noVBand="1"/>
      </w:tblPr>
      <w:tblGrid>
        <w:gridCol w:w="4360"/>
        <w:gridCol w:w="6901"/>
        <w:gridCol w:w="4127"/>
      </w:tblGrid>
      <w:tr w:rsidR="00E66558" w14:paraId="2A7D5519" w14:textId="77777777" w:rsidTr="01D98F35">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1D98F35">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3D2D59" w14:textId="071FCC6B" w:rsidR="003D00E0" w:rsidRDefault="00275DB8" w:rsidP="00275DB8">
            <w:pPr>
              <w:pStyle w:val="TableRow"/>
              <w:rPr>
                <w:sz w:val="22"/>
                <w:szCs w:val="22"/>
              </w:rPr>
            </w:pPr>
            <w:r w:rsidRPr="00275DB8">
              <w:rPr>
                <w:sz w:val="22"/>
                <w:szCs w:val="22"/>
              </w:rPr>
              <w:t xml:space="preserve">Strong CPD offer for </w:t>
            </w:r>
            <w:r>
              <w:rPr>
                <w:sz w:val="22"/>
                <w:szCs w:val="22"/>
              </w:rPr>
              <w:t>teachers</w:t>
            </w:r>
            <w:r w:rsidRPr="00275DB8">
              <w:rPr>
                <w:sz w:val="22"/>
                <w:szCs w:val="22"/>
              </w:rPr>
              <w:t xml:space="preserve"> to ensure QFT (quality first teach) </w:t>
            </w:r>
            <w:r w:rsidR="00E31F34">
              <w:rPr>
                <w:sz w:val="22"/>
                <w:szCs w:val="22"/>
              </w:rPr>
              <w:t xml:space="preserve">linked to </w:t>
            </w:r>
            <w:r w:rsidR="00960888">
              <w:rPr>
                <w:sz w:val="22"/>
                <w:szCs w:val="22"/>
              </w:rPr>
              <w:t>school development plan targets (Reading, Writing, Oracy) as well as subject specific CPD to improve outcomes cross the curriculum</w:t>
            </w:r>
          </w:p>
          <w:p w14:paraId="70F86A85" w14:textId="3C212018" w:rsidR="00E66558" w:rsidRPr="00275DB8" w:rsidRDefault="00E66558" w:rsidP="01D98F35">
            <w:pPr>
              <w:pStyle w:val="TableRow"/>
              <w:rPr>
                <w:sz w:val="22"/>
                <w:szCs w:val="22"/>
              </w:rPr>
            </w:pPr>
          </w:p>
          <w:p w14:paraId="2A7D551A" w14:textId="159A4098" w:rsidR="00E66558" w:rsidRPr="00275DB8" w:rsidRDefault="223885AA" w:rsidP="00960888">
            <w:pPr>
              <w:pStyle w:val="TableRow"/>
              <w:rPr>
                <w:sz w:val="22"/>
                <w:szCs w:val="22"/>
              </w:rPr>
            </w:pPr>
            <w:r w:rsidRPr="01D98F35">
              <w:rPr>
                <w:sz w:val="22"/>
                <w:szCs w:val="22"/>
              </w:rPr>
              <w:t>£</w:t>
            </w:r>
            <w:r w:rsidR="00DE53BC">
              <w:rPr>
                <w:sz w:val="22"/>
                <w:szCs w:val="22"/>
              </w:rPr>
              <w:t>75</w:t>
            </w:r>
            <w:r w:rsidR="00960888">
              <w:rPr>
                <w:sz w:val="22"/>
                <w:szCs w:val="22"/>
              </w:rPr>
              <w:t>00</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4DBE57" w14:textId="5D134A8D" w:rsidR="00E66558" w:rsidRDefault="00E31F34" w:rsidP="01D98F35">
            <w:pPr>
              <w:pStyle w:val="TableRowCentered"/>
              <w:jc w:val="left"/>
            </w:pPr>
            <w:r w:rsidRPr="01D98F35">
              <w:rPr>
                <w:sz w:val="22"/>
                <w:szCs w:val="22"/>
              </w:rPr>
              <w:t xml:space="preserve">Government white paper is clear about aim to create “excellent teaching in every classroom”. </w:t>
            </w:r>
            <w:r w:rsidR="5BE3A993" w:rsidRPr="01D98F35">
              <w:rPr>
                <w:rFonts w:eastAsia="Arial" w:cs="Arial"/>
                <w:color w:val="31333F"/>
                <w:sz w:val="22"/>
                <w:szCs w:val="22"/>
              </w:rPr>
              <w:t>Studies suggest that high-quality CPD helps teachers develop their pedagogical knowledge and skills, which in turn allows them to provide targeted support and tailored interventions to meet the specific needs of these students. It can lead to enhanced teaching practices, improved engagement, and better academic progress for pupil premium children.</w:t>
            </w:r>
          </w:p>
          <w:p w14:paraId="0B217DB4" w14:textId="77777777" w:rsidR="00275DB8" w:rsidRDefault="00275DB8">
            <w:pPr>
              <w:pStyle w:val="TableRowCentered"/>
              <w:jc w:val="left"/>
              <w:rPr>
                <w:sz w:val="22"/>
                <w:szCs w:val="22"/>
              </w:rPr>
            </w:pPr>
          </w:p>
          <w:p w14:paraId="2A7D551B" w14:textId="1D9EB8CD" w:rsidR="00275DB8" w:rsidRPr="00275DB8" w:rsidRDefault="00275DB8">
            <w:pPr>
              <w:pStyle w:val="TableRowCentered"/>
              <w:jc w:val="left"/>
              <w:rPr>
                <w:sz w:val="22"/>
                <w:szCs w:val="2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4B018E" w14:textId="77777777" w:rsidR="00E66558" w:rsidRDefault="0013679E">
            <w:pPr>
              <w:pStyle w:val="TableRowCentered"/>
              <w:jc w:val="left"/>
              <w:rPr>
                <w:sz w:val="22"/>
                <w:szCs w:val="22"/>
              </w:rPr>
            </w:pPr>
            <w:r>
              <w:rPr>
                <w:sz w:val="22"/>
                <w:szCs w:val="22"/>
              </w:rPr>
              <w:t>Challenge 1</w:t>
            </w:r>
          </w:p>
          <w:p w14:paraId="4219E864" w14:textId="579FEA2B" w:rsidR="0013679E" w:rsidRDefault="00E31F34">
            <w:pPr>
              <w:pStyle w:val="TableRowCentered"/>
              <w:jc w:val="left"/>
              <w:rPr>
                <w:sz w:val="22"/>
                <w:szCs w:val="22"/>
              </w:rPr>
            </w:pPr>
            <w:r>
              <w:rPr>
                <w:sz w:val="22"/>
                <w:szCs w:val="22"/>
              </w:rPr>
              <w:t>Challenge 2</w:t>
            </w:r>
          </w:p>
          <w:p w14:paraId="11A74F95" w14:textId="77777777" w:rsidR="0013679E" w:rsidRDefault="00E31F34">
            <w:pPr>
              <w:pStyle w:val="TableRowCentered"/>
              <w:jc w:val="left"/>
              <w:rPr>
                <w:sz w:val="22"/>
                <w:szCs w:val="22"/>
              </w:rPr>
            </w:pPr>
            <w:r>
              <w:rPr>
                <w:sz w:val="22"/>
                <w:szCs w:val="22"/>
              </w:rPr>
              <w:t>Challenge 3</w:t>
            </w:r>
          </w:p>
          <w:p w14:paraId="6CB89557" w14:textId="77777777" w:rsidR="00E31F34" w:rsidRDefault="00E31F34">
            <w:pPr>
              <w:pStyle w:val="TableRowCentered"/>
              <w:jc w:val="left"/>
              <w:rPr>
                <w:sz w:val="22"/>
                <w:szCs w:val="22"/>
              </w:rPr>
            </w:pPr>
            <w:r>
              <w:rPr>
                <w:sz w:val="22"/>
                <w:szCs w:val="22"/>
              </w:rPr>
              <w:t>SDP Objective 1</w:t>
            </w:r>
          </w:p>
          <w:p w14:paraId="78E0A7FB" w14:textId="77777777" w:rsidR="00E31F34" w:rsidRDefault="00E31F34">
            <w:pPr>
              <w:pStyle w:val="TableRowCentered"/>
              <w:jc w:val="left"/>
              <w:rPr>
                <w:sz w:val="22"/>
                <w:szCs w:val="22"/>
              </w:rPr>
            </w:pPr>
            <w:r>
              <w:rPr>
                <w:sz w:val="22"/>
                <w:szCs w:val="22"/>
              </w:rPr>
              <w:t>SDP Objective 2</w:t>
            </w:r>
          </w:p>
          <w:p w14:paraId="01EF874E" w14:textId="4A8B7E7C" w:rsidR="00E31F34" w:rsidRDefault="00C63D45">
            <w:pPr>
              <w:pStyle w:val="TableRowCentered"/>
              <w:jc w:val="left"/>
              <w:rPr>
                <w:sz w:val="22"/>
                <w:szCs w:val="22"/>
              </w:rPr>
            </w:pPr>
            <w:r>
              <w:rPr>
                <w:sz w:val="22"/>
                <w:szCs w:val="22"/>
              </w:rPr>
              <w:t>SDP Objective 3</w:t>
            </w:r>
          </w:p>
          <w:p w14:paraId="2A7D551C" w14:textId="7528F349" w:rsidR="00A1336C" w:rsidRPr="00275DB8" w:rsidRDefault="00A1336C">
            <w:pPr>
              <w:pStyle w:val="TableRowCentered"/>
              <w:jc w:val="left"/>
              <w:rPr>
                <w:sz w:val="22"/>
                <w:szCs w:val="22"/>
              </w:rPr>
            </w:pPr>
          </w:p>
        </w:tc>
      </w:tr>
      <w:tr w:rsidR="00E66558" w14:paraId="2A7D5521" w14:textId="77777777" w:rsidTr="01D98F35">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262ECC" w14:textId="506AE844" w:rsidR="00F15D4F" w:rsidRDefault="00960888">
            <w:pPr>
              <w:pStyle w:val="TableRow"/>
              <w:rPr>
                <w:sz w:val="22"/>
              </w:rPr>
            </w:pPr>
            <w:r>
              <w:rPr>
                <w:sz w:val="22"/>
              </w:rPr>
              <w:t>Increase support for pupils by buying into innovative teaching, learning and assessment software that can intuitively track individual pupil progress and provide teachers with up to date assessment data for early intervention. This will include Learning by Questions (Lbq) and GL NFER English assessments</w:t>
            </w:r>
          </w:p>
          <w:p w14:paraId="2A7D551E" w14:textId="67146DB1" w:rsidR="003D00E0" w:rsidRPr="00275DB8" w:rsidRDefault="00DE53BC" w:rsidP="01D98F35">
            <w:pPr>
              <w:pStyle w:val="TableRow"/>
              <w:rPr>
                <w:sz w:val="22"/>
                <w:szCs w:val="22"/>
              </w:rPr>
            </w:pPr>
            <w:r>
              <w:rPr>
                <w:sz w:val="22"/>
                <w:szCs w:val="22"/>
              </w:rPr>
              <w:t>£15</w:t>
            </w:r>
            <w:r w:rsidR="00960888">
              <w:rPr>
                <w:sz w:val="22"/>
                <w:szCs w:val="22"/>
              </w:rPr>
              <w:t>00</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167993" w14:textId="3B5736A4" w:rsidR="00275DB8" w:rsidRDefault="47EBC0A2" w:rsidP="01D98F35">
            <w:pPr>
              <w:pStyle w:val="TableRowCentered"/>
              <w:jc w:val="left"/>
              <w:rPr>
                <w:rFonts w:eastAsia="Arial" w:cs="Arial"/>
                <w:color w:val="31333F"/>
                <w:sz w:val="22"/>
                <w:szCs w:val="22"/>
              </w:rPr>
            </w:pPr>
            <w:r w:rsidRPr="01D98F35">
              <w:rPr>
                <w:rFonts w:eastAsia="Arial" w:cs="Arial"/>
                <w:color w:val="31333F"/>
                <w:sz w:val="22"/>
                <w:szCs w:val="22"/>
              </w:rPr>
              <w:t xml:space="preserve">This will allow school to: </w:t>
            </w:r>
          </w:p>
          <w:p w14:paraId="7F397801" w14:textId="59BC5576" w:rsidR="00275DB8" w:rsidRDefault="47EBC0A2" w:rsidP="01D98F35">
            <w:pPr>
              <w:pStyle w:val="TableRowCentered"/>
              <w:jc w:val="left"/>
              <w:rPr>
                <w:rFonts w:eastAsia="Arial" w:cs="Arial"/>
                <w:color w:val="auto"/>
                <w:sz w:val="22"/>
                <w:szCs w:val="22"/>
              </w:rPr>
            </w:pPr>
            <w:r w:rsidRPr="01D98F35">
              <w:rPr>
                <w:rFonts w:eastAsia="Arial" w:cs="Arial"/>
                <w:color w:val="31333F"/>
                <w:sz w:val="22"/>
                <w:szCs w:val="22"/>
              </w:rPr>
              <w:t>1.</w:t>
            </w:r>
            <w:r w:rsidRPr="01D98F35">
              <w:rPr>
                <w:rFonts w:eastAsia="Arial" w:cs="Arial"/>
                <w:color w:val="auto"/>
                <w:sz w:val="22"/>
                <w:szCs w:val="22"/>
              </w:rPr>
              <w:t xml:space="preserve"> Gather accurate and timely data on the progress and attainment of these students, allowing for targeted interventions. </w:t>
            </w:r>
          </w:p>
          <w:p w14:paraId="1C6546AE" w14:textId="5D28FEC6" w:rsidR="00275DB8" w:rsidRDefault="47EBC0A2" w:rsidP="01D98F35">
            <w:pPr>
              <w:pStyle w:val="TableRowCentered"/>
              <w:jc w:val="left"/>
              <w:rPr>
                <w:rFonts w:eastAsia="Arial" w:cs="Arial"/>
                <w:color w:val="auto"/>
                <w:sz w:val="22"/>
                <w:szCs w:val="22"/>
              </w:rPr>
            </w:pPr>
            <w:r w:rsidRPr="01D98F35">
              <w:rPr>
                <w:rFonts w:eastAsia="Arial" w:cs="Arial"/>
                <w:color w:val="auto"/>
                <w:sz w:val="22"/>
                <w:szCs w:val="22"/>
              </w:rPr>
              <w:t xml:space="preserve">2. Identify specific areas of strengths and weaknesses, enabling teachers to tailor their support and resources accordingly. </w:t>
            </w:r>
          </w:p>
          <w:p w14:paraId="481D3AA2" w14:textId="3E5A0AB3" w:rsidR="00275DB8" w:rsidRDefault="47EBC0A2" w:rsidP="01D98F35">
            <w:pPr>
              <w:pStyle w:val="TableRowCentered"/>
              <w:jc w:val="left"/>
              <w:rPr>
                <w:rFonts w:eastAsia="Arial" w:cs="Arial"/>
                <w:color w:val="auto"/>
                <w:sz w:val="22"/>
                <w:szCs w:val="22"/>
              </w:rPr>
            </w:pPr>
            <w:r w:rsidRPr="01D98F35">
              <w:rPr>
                <w:rFonts w:eastAsia="Arial" w:cs="Arial"/>
                <w:color w:val="auto"/>
                <w:sz w:val="22"/>
                <w:szCs w:val="22"/>
              </w:rPr>
              <w:t xml:space="preserve">3. Facilitate effective communication between teachers, support staff, and parents/carers, ensuring everyone is aligned in meeting the needs of pupil premium children. </w:t>
            </w:r>
          </w:p>
          <w:p w14:paraId="5969BB7B" w14:textId="24B586DB" w:rsidR="00275DB8" w:rsidRDefault="47EBC0A2" w:rsidP="01D98F35">
            <w:pPr>
              <w:pStyle w:val="TableRowCentered"/>
              <w:jc w:val="left"/>
              <w:rPr>
                <w:rFonts w:eastAsia="Arial" w:cs="Arial"/>
                <w:color w:val="auto"/>
                <w:sz w:val="22"/>
                <w:szCs w:val="22"/>
              </w:rPr>
            </w:pPr>
            <w:r w:rsidRPr="01D98F35">
              <w:rPr>
                <w:rFonts w:eastAsia="Arial" w:cs="Arial"/>
                <w:color w:val="auto"/>
                <w:sz w:val="22"/>
                <w:szCs w:val="22"/>
              </w:rPr>
              <w:t xml:space="preserve">4.  Enable schools to track the impact of interventions and adjust strategies if needed. </w:t>
            </w:r>
          </w:p>
          <w:p w14:paraId="2A7D551F" w14:textId="10B1EC86" w:rsidR="00275DB8" w:rsidRDefault="47EBC0A2" w:rsidP="01D98F35">
            <w:pPr>
              <w:pStyle w:val="TableRowCentered"/>
              <w:jc w:val="left"/>
              <w:rPr>
                <w:color w:val="auto"/>
                <w:sz w:val="22"/>
                <w:szCs w:val="22"/>
              </w:rPr>
            </w:pPr>
            <w:r w:rsidRPr="01D98F35">
              <w:rPr>
                <w:rFonts w:eastAsia="Arial" w:cs="Arial"/>
                <w:color w:val="auto"/>
                <w:sz w:val="22"/>
                <w:szCs w:val="22"/>
              </w:rPr>
              <w:t>5. Inform decision-making processes regarding resource allocation and additional support for these students.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B1C28E" w14:textId="77777777" w:rsidR="00E66558" w:rsidRDefault="003D00E0">
            <w:pPr>
              <w:pStyle w:val="TableRowCentered"/>
              <w:jc w:val="left"/>
              <w:rPr>
                <w:sz w:val="22"/>
              </w:rPr>
            </w:pPr>
            <w:r>
              <w:rPr>
                <w:sz w:val="22"/>
              </w:rPr>
              <w:t>Challenge 1</w:t>
            </w:r>
          </w:p>
          <w:p w14:paraId="5A6D5FFB" w14:textId="77777777" w:rsidR="003D00E0" w:rsidRDefault="003D00E0">
            <w:pPr>
              <w:pStyle w:val="TableRowCentered"/>
              <w:jc w:val="left"/>
              <w:rPr>
                <w:sz w:val="22"/>
              </w:rPr>
            </w:pPr>
            <w:r>
              <w:rPr>
                <w:sz w:val="22"/>
              </w:rPr>
              <w:t>Challenge 2</w:t>
            </w:r>
          </w:p>
          <w:p w14:paraId="74CCB754" w14:textId="78F33932" w:rsidR="003D00E0" w:rsidRDefault="003D00E0">
            <w:pPr>
              <w:pStyle w:val="TableRowCentered"/>
              <w:jc w:val="left"/>
              <w:rPr>
                <w:sz w:val="22"/>
              </w:rPr>
            </w:pPr>
            <w:r>
              <w:rPr>
                <w:sz w:val="22"/>
              </w:rPr>
              <w:t>Challenge 3</w:t>
            </w:r>
          </w:p>
          <w:p w14:paraId="25E63E02" w14:textId="1E97FEEA" w:rsidR="00A1336C" w:rsidRDefault="00A1336C">
            <w:pPr>
              <w:pStyle w:val="TableRowCentered"/>
              <w:jc w:val="left"/>
              <w:rPr>
                <w:sz w:val="22"/>
              </w:rPr>
            </w:pPr>
            <w:r>
              <w:rPr>
                <w:sz w:val="22"/>
              </w:rPr>
              <w:t>Challenge 4</w:t>
            </w:r>
          </w:p>
          <w:p w14:paraId="78058B57" w14:textId="6646E4A4" w:rsidR="003D00E0" w:rsidRDefault="00E31F34">
            <w:pPr>
              <w:pStyle w:val="TableRowCentered"/>
              <w:jc w:val="left"/>
              <w:rPr>
                <w:sz w:val="22"/>
              </w:rPr>
            </w:pPr>
            <w:r>
              <w:rPr>
                <w:sz w:val="22"/>
              </w:rPr>
              <w:t xml:space="preserve">SDP Objective </w:t>
            </w:r>
            <w:r w:rsidR="00C63D45">
              <w:rPr>
                <w:sz w:val="22"/>
              </w:rPr>
              <w:t>1</w:t>
            </w:r>
          </w:p>
          <w:p w14:paraId="2A7D5520" w14:textId="7C355656" w:rsidR="00E31F34" w:rsidRDefault="00E31F34">
            <w:pPr>
              <w:pStyle w:val="TableRowCentered"/>
              <w:jc w:val="left"/>
              <w:rPr>
                <w:sz w:val="22"/>
              </w:rPr>
            </w:pPr>
          </w:p>
        </w:tc>
      </w:tr>
      <w:tr w:rsidR="00C26749" w14:paraId="6E49FE1C" w14:textId="77777777" w:rsidTr="01D98F35">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CB1A52" w14:textId="77777777" w:rsidR="00C26749" w:rsidRDefault="001B4C3D">
            <w:pPr>
              <w:pStyle w:val="TableRow"/>
              <w:rPr>
                <w:sz w:val="22"/>
              </w:rPr>
            </w:pPr>
            <w:r>
              <w:rPr>
                <w:sz w:val="22"/>
              </w:rPr>
              <w:lastRenderedPageBreak/>
              <w:t>Increase writing support by providing a software solution (Clicker8) making curriculum content accessible for all learners</w:t>
            </w:r>
          </w:p>
          <w:p w14:paraId="5465CCF6" w14:textId="77777777" w:rsidR="001B4C3D" w:rsidRDefault="001B4C3D">
            <w:pPr>
              <w:pStyle w:val="TableRow"/>
              <w:rPr>
                <w:sz w:val="22"/>
              </w:rPr>
            </w:pPr>
          </w:p>
          <w:p w14:paraId="615392D6" w14:textId="56D532FC" w:rsidR="001B4C3D" w:rsidRDefault="001B4C3D">
            <w:pPr>
              <w:pStyle w:val="TableRow"/>
              <w:rPr>
                <w:sz w:val="22"/>
              </w:rPr>
            </w:pPr>
            <w:r>
              <w:rPr>
                <w:sz w:val="22"/>
              </w:rPr>
              <w:t>£900</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A0DC5A" w14:textId="5232C12C" w:rsidR="001B4C3D" w:rsidRPr="001B4C3D" w:rsidRDefault="001B4C3D" w:rsidP="001B4C3D">
            <w:pPr>
              <w:pStyle w:val="Heading3"/>
              <w:numPr>
                <w:ilvl w:val="0"/>
                <w:numId w:val="35"/>
              </w:numPr>
              <w:spacing w:before="0" w:after="0"/>
              <w:rPr>
                <w:rStyle w:val="Strong"/>
                <w:bCs/>
                <w:color w:val="auto"/>
                <w:sz w:val="22"/>
                <w:szCs w:val="22"/>
              </w:rPr>
            </w:pPr>
            <w:r w:rsidRPr="001B4C3D">
              <w:rPr>
                <w:rStyle w:val="Strong"/>
                <w:bCs/>
                <w:color w:val="auto"/>
                <w:sz w:val="22"/>
                <w:szCs w:val="22"/>
              </w:rPr>
              <w:t>Enhanced Writing Support</w:t>
            </w:r>
          </w:p>
          <w:p w14:paraId="79BB2466" w14:textId="77777777" w:rsidR="001B4C3D" w:rsidRPr="001B4C3D" w:rsidRDefault="001B4C3D" w:rsidP="001B4C3D">
            <w:pPr>
              <w:pStyle w:val="Heading3"/>
              <w:spacing w:before="0" w:after="0"/>
              <w:rPr>
                <w:b w:val="0"/>
                <w:color w:val="auto"/>
                <w:sz w:val="22"/>
                <w:szCs w:val="22"/>
              </w:rPr>
            </w:pPr>
            <w:r w:rsidRPr="001B4C3D">
              <w:rPr>
                <w:b w:val="0"/>
                <w:color w:val="auto"/>
                <w:sz w:val="22"/>
                <w:szCs w:val="22"/>
              </w:rPr>
              <w:t xml:space="preserve">2. </w:t>
            </w:r>
            <w:r w:rsidRPr="001B4C3D">
              <w:rPr>
                <w:rStyle w:val="Strong"/>
                <w:bCs/>
                <w:color w:val="auto"/>
                <w:sz w:val="22"/>
                <w:szCs w:val="22"/>
              </w:rPr>
              <w:t>Accessibility and Differentiation</w:t>
            </w:r>
          </w:p>
          <w:p w14:paraId="05530925" w14:textId="77777777" w:rsidR="001B4C3D" w:rsidRPr="001B4C3D" w:rsidRDefault="001B4C3D" w:rsidP="001B4C3D">
            <w:pPr>
              <w:pStyle w:val="Heading3"/>
              <w:spacing w:before="0" w:after="0"/>
              <w:rPr>
                <w:rStyle w:val="Strong"/>
                <w:bCs/>
                <w:color w:val="auto"/>
                <w:sz w:val="22"/>
                <w:szCs w:val="22"/>
              </w:rPr>
            </w:pPr>
            <w:r w:rsidRPr="001B4C3D">
              <w:rPr>
                <w:b w:val="0"/>
                <w:color w:val="auto"/>
                <w:sz w:val="22"/>
                <w:szCs w:val="22"/>
              </w:rPr>
              <w:t xml:space="preserve">3. </w:t>
            </w:r>
            <w:r w:rsidRPr="001B4C3D">
              <w:rPr>
                <w:rStyle w:val="Strong"/>
                <w:bCs/>
                <w:color w:val="auto"/>
                <w:sz w:val="22"/>
                <w:szCs w:val="22"/>
              </w:rPr>
              <w:t>Reading and Comprehension Development</w:t>
            </w:r>
          </w:p>
          <w:p w14:paraId="128D2093" w14:textId="77777777" w:rsidR="001B4C3D" w:rsidRPr="001B4C3D" w:rsidRDefault="001B4C3D" w:rsidP="001B4C3D">
            <w:pPr>
              <w:pStyle w:val="Heading3"/>
              <w:spacing w:before="0" w:after="0"/>
              <w:rPr>
                <w:rStyle w:val="Strong"/>
                <w:bCs/>
                <w:color w:val="auto"/>
                <w:sz w:val="22"/>
                <w:szCs w:val="22"/>
              </w:rPr>
            </w:pPr>
            <w:r w:rsidRPr="001B4C3D">
              <w:rPr>
                <w:b w:val="0"/>
                <w:color w:val="auto"/>
                <w:sz w:val="22"/>
                <w:szCs w:val="22"/>
              </w:rPr>
              <w:t xml:space="preserve">4. </w:t>
            </w:r>
            <w:r w:rsidRPr="001B4C3D">
              <w:rPr>
                <w:rStyle w:val="Strong"/>
                <w:bCs/>
                <w:color w:val="auto"/>
                <w:sz w:val="22"/>
                <w:szCs w:val="22"/>
              </w:rPr>
              <w:t>Engaging Learning Experience</w:t>
            </w:r>
          </w:p>
          <w:p w14:paraId="4B1E1292" w14:textId="2F7E1234" w:rsidR="001B4C3D" w:rsidRPr="001B4C3D" w:rsidRDefault="001B4C3D" w:rsidP="001B4C3D">
            <w:pPr>
              <w:pStyle w:val="Heading3"/>
              <w:spacing w:before="0" w:after="0"/>
              <w:rPr>
                <w:b w:val="0"/>
                <w:color w:val="auto"/>
                <w:sz w:val="22"/>
                <w:szCs w:val="22"/>
              </w:rPr>
            </w:pPr>
            <w:r w:rsidRPr="001B4C3D">
              <w:rPr>
                <w:b w:val="0"/>
                <w:color w:val="auto"/>
                <w:sz w:val="22"/>
                <w:szCs w:val="22"/>
              </w:rPr>
              <w:t xml:space="preserve">5. </w:t>
            </w:r>
            <w:r w:rsidRPr="001B4C3D">
              <w:rPr>
                <w:rStyle w:val="Strong"/>
                <w:bCs/>
                <w:color w:val="auto"/>
                <w:sz w:val="22"/>
                <w:szCs w:val="22"/>
              </w:rPr>
              <w:t>Building Confidence and Independence</w:t>
            </w:r>
          </w:p>
          <w:p w14:paraId="3BAFCD81" w14:textId="77777777" w:rsidR="001B4C3D" w:rsidRPr="001B4C3D" w:rsidRDefault="001B4C3D" w:rsidP="001B4C3D">
            <w:pPr>
              <w:pStyle w:val="Heading3"/>
              <w:spacing w:before="0" w:after="0"/>
              <w:rPr>
                <w:b w:val="0"/>
                <w:color w:val="auto"/>
                <w:sz w:val="22"/>
                <w:szCs w:val="22"/>
              </w:rPr>
            </w:pPr>
            <w:r w:rsidRPr="001B4C3D">
              <w:rPr>
                <w:b w:val="0"/>
                <w:color w:val="auto"/>
                <w:sz w:val="22"/>
                <w:szCs w:val="22"/>
              </w:rPr>
              <w:t xml:space="preserve">6. </w:t>
            </w:r>
            <w:r w:rsidRPr="001B4C3D">
              <w:rPr>
                <w:rStyle w:val="Strong"/>
                <w:bCs/>
                <w:color w:val="auto"/>
                <w:sz w:val="22"/>
                <w:szCs w:val="22"/>
              </w:rPr>
              <w:t>Teacher Insights and Targeted Support</w:t>
            </w:r>
          </w:p>
          <w:p w14:paraId="5E34F6C7" w14:textId="77777777" w:rsidR="00C26749" w:rsidRPr="001B4C3D" w:rsidRDefault="00C26749" w:rsidP="001B4C3D">
            <w:pPr>
              <w:suppressAutoHyphens w:val="0"/>
              <w:autoSpaceDN/>
              <w:spacing w:before="100" w:beforeAutospacing="1" w:after="100" w:afterAutospacing="1" w:line="240" w:lineRule="auto"/>
              <w:rPr>
                <w:rFonts w:eastAsia="Arial" w:cs="Arial"/>
                <w:color w:val="31333F"/>
                <w:sz w:val="22"/>
                <w:szCs w:val="2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06711E" w14:textId="77777777" w:rsidR="001B4C3D" w:rsidRDefault="001B4C3D" w:rsidP="001B4C3D">
            <w:pPr>
              <w:pStyle w:val="TableRowCentered"/>
              <w:jc w:val="left"/>
              <w:rPr>
                <w:sz w:val="22"/>
              </w:rPr>
            </w:pPr>
            <w:r>
              <w:rPr>
                <w:sz w:val="22"/>
              </w:rPr>
              <w:t>Challenge 1</w:t>
            </w:r>
          </w:p>
          <w:p w14:paraId="572E5028" w14:textId="77777777" w:rsidR="001B4C3D" w:rsidRDefault="001B4C3D" w:rsidP="001B4C3D">
            <w:pPr>
              <w:pStyle w:val="TableRowCentered"/>
              <w:jc w:val="left"/>
              <w:rPr>
                <w:sz w:val="22"/>
              </w:rPr>
            </w:pPr>
            <w:r>
              <w:rPr>
                <w:sz w:val="22"/>
              </w:rPr>
              <w:t>Challenge 2</w:t>
            </w:r>
          </w:p>
          <w:p w14:paraId="142AD6C3" w14:textId="77777777" w:rsidR="001B4C3D" w:rsidRDefault="001B4C3D" w:rsidP="001B4C3D">
            <w:pPr>
              <w:pStyle w:val="TableRowCentered"/>
              <w:jc w:val="left"/>
              <w:rPr>
                <w:sz w:val="22"/>
              </w:rPr>
            </w:pPr>
            <w:r>
              <w:rPr>
                <w:sz w:val="22"/>
              </w:rPr>
              <w:t>Challenge 4</w:t>
            </w:r>
          </w:p>
          <w:p w14:paraId="4A7DA5E5" w14:textId="35B5A952" w:rsidR="001B4C3D" w:rsidRDefault="001B4C3D" w:rsidP="001B4C3D">
            <w:pPr>
              <w:pStyle w:val="TableRowCentered"/>
              <w:jc w:val="left"/>
              <w:rPr>
                <w:sz w:val="22"/>
              </w:rPr>
            </w:pPr>
            <w:r>
              <w:rPr>
                <w:sz w:val="22"/>
              </w:rPr>
              <w:t>SDP Objective 1</w:t>
            </w:r>
          </w:p>
          <w:p w14:paraId="54CE1F6C" w14:textId="45C8FBAC" w:rsidR="001B4C3D" w:rsidRDefault="001B4C3D" w:rsidP="001B4C3D">
            <w:pPr>
              <w:pStyle w:val="TableRowCentered"/>
              <w:jc w:val="left"/>
              <w:rPr>
                <w:sz w:val="22"/>
              </w:rPr>
            </w:pPr>
            <w:r>
              <w:rPr>
                <w:sz w:val="22"/>
              </w:rPr>
              <w:t>SDP Objective 2</w:t>
            </w:r>
          </w:p>
          <w:p w14:paraId="662E0A43" w14:textId="6747EB7A" w:rsidR="001B4C3D" w:rsidRDefault="001B4C3D" w:rsidP="001B4C3D">
            <w:pPr>
              <w:pStyle w:val="TableRowCentered"/>
              <w:jc w:val="left"/>
              <w:rPr>
                <w:sz w:val="22"/>
              </w:rPr>
            </w:pPr>
            <w:r>
              <w:rPr>
                <w:sz w:val="22"/>
              </w:rPr>
              <w:t>SDP Objective 3</w:t>
            </w:r>
          </w:p>
          <w:p w14:paraId="152D773F" w14:textId="77777777" w:rsidR="001B4C3D" w:rsidRDefault="001B4C3D" w:rsidP="001B4C3D">
            <w:pPr>
              <w:pStyle w:val="TableRowCentered"/>
              <w:jc w:val="left"/>
              <w:rPr>
                <w:sz w:val="22"/>
              </w:rPr>
            </w:pPr>
          </w:p>
          <w:p w14:paraId="30EC24BC" w14:textId="77777777" w:rsidR="00C26749" w:rsidRDefault="00C26749">
            <w:pPr>
              <w:pStyle w:val="TableRowCentered"/>
              <w:jc w:val="left"/>
              <w:rPr>
                <w:sz w:val="22"/>
              </w:rPr>
            </w:pPr>
          </w:p>
        </w:tc>
      </w:tr>
    </w:tbl>
    <w:p w14:paraId="758E5EA1" w14:textId="77777777" w:rsidR="00960888" w:rsidRDefault="00960888" w:rsidP="01D98F35">
      <w:pPr>
        <w:keepNext/>
        <w:spacing w:after="60"/>
        <w:outlineLvl w:val="1"/>
        <w:rPr>
          <w:b/>
          <w:bCs/>
          <w:color w:val="104F75"/>
          <w:sz w:val="28"/>
          <w:szCs w:val="28"/>
        </w:rPr>
      </w:pPr>
    </w:p>
    <w:p w14:paraId="2A7D5523" w14:textId="66FF91EF" w:rsidR="00E66558" w:rsidRDefault="009D71E8" w:rsidP="01D98F35">
      <w:pPr>
        <w:keepNext/>
        <w:spacing w:after="60"/>
        <w:outlineLvl w:val="1"/>
        <w:rPr>
          <w:b/>
          <w:bCs/>
          <w:color w:val="104F75"/>
          <w:sz w:val="28"/>
          <w:szCs w:val="28"/>
        </w:rPr>
      </w:pPr>
      <w:r w:rsidRPr="01D98F35">
        <w:rPr>
          <w:b/>
          <w:bCs/>
          <w:color w:val="104F75"/>
          <w:sz w:val="28"/>
          <w:szCs w:val="28"/>
        </w:rPr>
        <w:t xml:space="preserve">Targeted academic support (for example, </w:t>
      </w:r>
      <w:r w:rsidR="00D33FE5" w:rsidRPr="01D98F35">
        <w:rPr>
          <w:b/>
          <w:bCs/>
          <w:color w:val="104F75"/>
          <w:sz w:val="28"/>
          <w:szCs w:val="28"/>
        </w:rPr>
        <w:t xml:space="preserve">tutoring, one-to-one support </w:t>
      </w:r>
      <w:r w:rsidRPr="01D98F35">
        <w:rPr>
          <w:b/>
          <w:bCs/>
          <w:color w:val="104F75"/>
          <w:sz w:val="28"/>
          <w:szCs w:val="28"/>
        </w:rPr>
        <w:t xml:space="preserve">structured interventions) </w:t>
      </w:r>
    </w:p>
    <w:p w14:paraId="2A7D5524" w14:textId="43E76182" w:rsidR="00E66558" w:rsidRDefault="00A524B9">
      <w:r>
        <w:t>Budgeted cost</w:t>
      </w:r>
      <w:r w:rsidRPr="01D98F35">
        <w:rPr>
          <w:i/>
          <w:iCs/>
        </w:rPr>
        <w:t>: £</w:t>
      </w:r>
      <w:r w:rsidR="4EAADB95" w:rsidRPr="01D98F35">
        <w:rPr>
          <w:i/>
          <w:iCs/>
        </w:rPr>
        <w:t>1</w:t>
      </w:r>
      <w:r w:rsidR="0077498C">
        <w:rPr>
          <w:i/>
          <w:iCs/>
        </w:rPr>
        <w:t>4</w:t>
      </w:r>
      <w:r w:rsidR="00AE0334" w:rsidRPr="01D98F35">
        <w:rPr>
          <w:i/>
          <w:iCs/>
        </w:rPr>
        <w:t xml:space="preserve">,000 </w:t>
      </w:r>
    </w:p>
    <w:tbl>
      <w:tblPr>
        <w:tblW w:w="5000" w:type="pct"/>
        <w:tblCellMar>
          <w:left w:w="10" w:type="dxa"/>
          <w:right w:w="10" w:type="dxa"/>
        </w:tblCellMar>
        <w:tblLook w:val="04A0" w:firstRow="1" w:lastRow="0" w:firstColumn="1" w:lastColumn="0" w:noHBand="0" w:noVBand="1"/>
      </w:tblPr>
      <w:tblGrid>
        <w:gridCol w:w="4360"/>
        <w:gridCol w:w="6901"/>
        <w:gridCol w:w="4127"/>
      </w:tblGrid>
      <w:tr w:rsidR="00E66558" w14:paraId="2A7D5528" w14:textId="77777777" w:rsidTr="69020E1A">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69020E1A">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2B3A2F" w14:textId="10F26A86" w:rsidR="00E66558" w:rsidRDefault="00A1336C" w:rsidP="00A542AD">
            <w:pPr>
              <w:pStyle w:val="TableRow"/>
              <w:ind w:left="0"/>
              <w:rPr>
                <w:iCs/>
                <w:sz w:val="22"/>
                <w:szCs w:val="22"/>
              </w:rPr>
            </w:pPr>
            <w:r>
              <w:rPr>
                <w:iCs/>
                <w:sz w:val="22"/>
                <w:szCs w:val="22"/>
              </w:rPr>
              <w:t xml:space="preserve">In house tutoring programme led by </w:t>
            </w:r>
            <w:r w:rsidR="00C63D45">
              <w:rPr>
                <w:iCs/>
                <w:sz w:val="22"/>
                <w:szCs w:val="22"/>
              </w:rPr>
              <w:t>a</w:t>
            </w:r>
            <w:r w:rsidR="00CA0DED">
              <w:rPr>
                <w:iCs/>
                <w:sz w:val="22"/>
                <w:szCs w:val="22"/>
              </w:rPr>
              <w:t xml:space="preserve"> qualified</w:t>
            </w:r>
            <w:r w:rsidR="00C63D45">
              <w:rPr>
                <w:iCs/>
                <w:sz w:val="22"/>
                <w:szCs w:val="22"/>
              </w:rPr>
              <w:t xml:space="preserve"> teacher</w:t>
            </w:r>
          </w:p>
          <w:p w14:paraId="40DD35C5" w14:textId="77777777" w:rsidR="003D00E0" w:rsidRDefault="003D00E0" w:rsidP="00A542AD">
            <w:pPr>
              <w:pStyle w:val="TableRow"/>
              <w:ind w:left="0"/>
              <w:rPr>
                <w:iCs/>
                <w:sz w:val="22"/>
                <w:szCs w:val="22"/>
              </w:rPr>
            </w:pPr>
          </w:p>
          <w:p w14:paraId="2A7D5529" w14:textId="62DA8425" w:rsidR="003D00E0" w:rsidRPr="00A542AD" w:rsidRDefault="00DE53BC" w:rsidP="00AE0334">
            <w:pPr>
              <w:pStyle w:val="TableRow"/>
              <w:ind w:left="0"/>
            </w:pPr>
            <w:r>
              <w:t>£14</w:t>
            </w:r>
            <w:r w:rsidR="0106C621">
              <w:t>000</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021DE3" w14:textId="42A215F0" w:rsidR="00E66558" w:rsidRDefault="1973BA2A" w:rsidP="01D98F35">
            <w:pPr>
              <w:pStyle w:val="TableRowCentered"/>
              <w:jc w:val="left"/>
              <w:rPr>
                <w:rFonts w:eastAsia="Arial" w:cs="Arial"/>
                <w:color w:val="auto"/>
                <w:sz w:val="22"/>
                <w:szCs w:val="22"/>
              </w:rPr>
            </w:pPr>
            <w:r w:rsidRPr="01D98F35">
              <w:rPr>
                <w:rFonts w:eastAsia="Arial" w:cs="Arial"/>
                <w:color w:val="auto"/>
                <w:sz w:val="22"/>
                <w:szCs w:val="22"/>
              </w:rPr>
              <w:t xml:space="preserve">Tutoring supports pupil premium children in a number of ways: </w:t>
            </w:r>
          </w:p>
          <w:p w14:paraId="2577FC9A" w14:textId="5461FB02" w:rsidR="00E66558" w:rsidRDefault="1973BA2A" w:rsidP="01D98F35">
            <w:pPr>
              <w:pStyle w:val="TableRowCentered"/>
              <w:numPr>
                <w:ilvl w:val="0"/>
                <w:numId w:val="3"/>
              </w:numPr>
              <w:jc w:val="left"/>
              <w:rPr>
                <w:rFonts w:eastAsia="Arial" w:cs="Arial"/>
                <w:color w:val="auto"/>
                <w:sz w:val="22"/>
                <w:szCs w:val="22"/>
              </w:rPr>
            </w:pPr>
            <w:r w:rsidRPr="01D98F35">
              <w:rPr>
                <w:rFonts w:eastAsia="Arial" w:cs="Arial"/>
                <w:color w:val="auto"/>
                <w:sz w:val="22"/>
                <w:szCs w:val="22"/>
              </w:rPr>
              <w:t xml:space="preserve">Individual Attention: Pupil premium children can benefit from dedicated one-on-one instruction, allowing for focused attention on their specific needs and challenges. </w:t>
            </w:r>
          </w:p>
          <w:p w14:paraId="4B621537" w14:textId="4E459D5F" w:rsidR="00E66558" w:rsidRDefault="1973BA2A" w:rsidP="01D98F35">
            <w:pPr>
              <w:pStyle w:val="TableRowCentered"/>
              <w:numPr>
                <w:ilvl w:val="0"/>
                <w:numId w:val="3"/>
              </w:numPr>
              <w:jc w:val="left"/>
              <w:rPr>
                <w:rFonts w:eastAsia="Arial" w:cs="Arial"/>
                <w:color w:val="auto"/>
                <w:sz w:val="22"/>
                <w:szCs w:val="22"/>
              </w:rPr>
            </w:pPr>
            <w:r w:rsidRPr="01D98F35">
              <w:rPr>
                <w:rFonts w:eastAsia="Arial" w:cs="Arial"/>
                <w:color w:val="auto"/>
                <w:sz w:val="22"/>
                <w:szCs w:val="22"/>
              </w:rPr>
              <w:t xml:space="preserve">Remedial Support: Tutors can provide targeted interventions to help overcome learning difficulties, reinforcing key concepts and building confidence. </w:t>
            </w:r>
          </w:p>
          <w:p w14:paraId="4D664453" w14:textId="6EA725BF" w:rsidR="00E66558" w:rsidRDefault="1973BA2A" w:rsidP="01D98F35">
            <w:pPr>
              <w:pStyle w:val="TableRowCentered"/>
              <w:numPr>
                <w:ilvl w:val="0"/>
                <w:numId w:val="3"/>
              </w:numPr>
              <w:jc w:val="left"/>
              <w:rPr>
                <w:rFonts w:eastAsia="Arial" w:cs="Arial"/>
                <w:color w:val="auto"/>
                <w:sz w:val="22"/>
                <w:szCs w:val="22"/>
              </w:rPr>
            </w:pPr>
            <w:r w:rsidRPr="01D98F35">
              <w:rPr>
                <w:rFonts w:eastAsia="Arial" w:cs="Arial"/>
                <w:color w:val="auto"/>
                <w:sz w:val="22"/>
                <w:szCs w:val="22"/>
              </w:rPr>
              <w:t xml:space="preserve">Academic Enrichment: Tutors can offer opportunities for extension and enrichment, introducing challenging material and fostering a love for learning. </w:t>
            </w:r>
          </w:p>
          <w:p w14:paraId="456475DD" w14:textId="35D3FC40" w:rsidR="00E66558" w:rsidRDefault="37B236CF" w:rsidP="01D98F35">
            <w:pPr>
              <w:pStyle w:val="TableRowCentered"/>
              <w:numPr>
                <w:ilvl w:val="0"/>
                <w:numId w:val="3"/>
              </w:numPr>
              <w:jc w:val="left"/>
              <w:rPr>
                <w:rFonts w:eastAsia="Arial" w:cs="Arial"/>
                <w:color w:val="auto"/>
                <w:sz w:val="22"/>
                <w:szCs w:val="22"/>
              </w:rPr>
            </w:pPr>
            <w:r w:rsidRPr="69020E1A">
              <w:rPr>
                <w:rFonts w:eastAsia="Arial" w:cs="Arial"/>
                <w:color w:val="auto"/>
                <w:sz w:val="22"/>
                <w:szCs w:val="22"/>
              </w:rPr>
              <w:t>Personali</w:t>
            </w:r>
            <w:r w:rsidR="44157592" w:rsidRPr="69020E1A">
              <w:rPr>
                <w:rFonts w:eastAsia="Arial" w:cs="Arial"/>
                <w:color w:val="auto"/>
                <w:sz w:val="22"/>
                <w:szCs w:val="22"/>
              </w:rPr>
              <w:t>s</w:t>
            </w:r>
            <w:r w:rsidRPr="69020E1A">
              <w:rPr>
                <w:rFonts w:eastAsia="Arial" w:cs="Arial"/>
                <w:color w:val="auto"/>
                <w:sz w:val="22"/>
                <w:szCs w:val="22"/>
              </w:rPr>
              <w:t>ed Approach: Tutors can tailor their teaching to meet the individual learning style of pupil premium children, adapting their methods and pace as needed.</w:t>
            </w:r>
          </w:p>
          <w:p w14:paraId="2A7D552A" w14:textId="7335325B" w:rsidR="00E66558" w:rsidRDefault="1973BA2A" w:rsidP="01D98F35">
            <w:pPr>
              <w:pStyle w:val="TableRowCentered"/>
              <w:numPr>
                <w:ilvl w:val="0"/>
                <w:numId w:val="3"/>
              </w:numPr>
              <w:jc w:val="left"/>
              <w:rPr>
                <w:rFonts w:eastAsia="Arial" w:cs="Arial"/>
                <w:color w:val="auto"/>
                <w:sz w:val="22"/>
                <w:szCs w:val="22"/>
              </w:rPr>
            </w:pPr>
            <w:r w:rsidRPr="01D98F35">
              <w:rPr>
                <w:rFonts w:eastAsia="Arial" w:cs="Arial"/>
                <w:color w:val="auto"/>
                <w:sz w:val="22"/>
                <w:szCs w:val="22"/>
              </w:rPr>
              <w:t>Boosting Confidence: Tutoring can help improve self-esteem and motivation, empowering these students to believe in their abilities and succeed academically.</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AA3EB0" w14:textId="77777777" w:rsidR="00E66558" w:rsidRDefault="00A542AD">
            <w:pPr>
              <w:pStyle w:val="TableRowCentered"/>
              <w:jc w:val="left"/>
              <w:rPr>
                <w:sz w:val="22"/>
              </w:rPr>
            </w:pPr>
            <w:r>
              <w:rPr>
                <w:sz w:val="22"/>
              </w:rPr>
              <w:t>Challenge 1</w:t>
            </w:r>
          </w:p>
          <w:p w14:paraId="1A3DA138" w14:textId="77777777" w:rsidR="00A542AD" w:rsidRDefault="00E31F34">
            <w:pPr>
              <w:pStyle w:val="TableRowCentered"/>
              <w:jc w:val="left"/>
              <w:rPr>
                <w:sz w:val="22"/>
              </w:rPr>
            </w:pPr>
            <w:r>
              <w:rPr>
                <w:sz w:val="22"/>
              </w:rPr>
              <w:t>Challenge 2</w:t>
            </w:r>
          </w:p>
          <w:p w14:paraId="6DE9517C" w14:textId="32BD70E0" w:rsidR="00E31F34" w:rsidRDefault="00E31F34">
            <w:pPr>
              <w:pStyle w:val="TableRowCentered"/>
              <w:jc w:val="left"/>
              <w:rPr>
                <w:sz w:val="22"/>
              </w:rPr>
            </w:pPr>
            <w:r>
              <w:rPr>
                <w:sz w:val="22"/>
              </w:rPr>
              <w:t>Challenge 3</w:t>
            </w:r>
          </w:p>
          <w:p w14:paraId="28A018F8" w14:textId="0456F8FE" w:rsidR="00C63D45" w:rsidRDefault="00C63D45">
            <w:pPr>
              <w:pStyle w:val="TableRowCentered"/>
              <w:jc w:val="left"/>
              <w:rPr>
                <w:sz w:val="22"/>
              </w:rPr>
            </w:pPr>
            <w:r>
              <w:rPr>
                <w:sz w:val="22"/>
              </w:rPr>
              <w:t>Challenge 4</w:t>
            </w:r>
          </w:p>
          <w:p w14:paraId="414D5861" w14:textId="1608F4A4" w:rsidR="00E31F34" w:rsidRDefault="00CA0DED">
            <w:pPr>
              <w:pStyle w:val="TableRowCentered"/>
              <w:jc w:val="left"/>
              <w:rPr>
                <w:sz w:val="22"/>
              </w:rPr>
            </w:pPr>
            <w:r>
              <w:rPr>
                <w:sz w:val="22"/>
              </w:rPr>
              <w:t>SDP Objective 1</w:t>
            </w:r>
          </w:p>
          <w:p w14:paraId="2F37FF02" w14:textId="659FD5B3" w:rsidR="00E31F34" w:rsidRDefault="00C63D45">
            <w:pPr>
              <w:pStyle w:val="TableRowCentered"/>
              <w:jc w:val="left"/>
              <w:rPr>
                <w:sz w:val="22"/>
              </w:rPr>
            </w:pPr>
            <w:r>
              <w:rPr>
                <w:sz w:val="22"/>
              </w:rPr>
              <w:t>SDP Objective 2</w:t>
            </w:r>
          </w:p>
          <w:p w14:paraId="2A7D552B" w14:textId="75CDB2D9" w:rsidR="00E31F34" w:rsidRDefault="00E31F34" w:rsidP="00C63D45">
            <w:pPr>
              <w:pStyle w:val="TableRowCentered"/>
              <w:jc w:val="left"/>
              <w:rPr>
                <w:sz w:val="22"/>
              </w:rPr>
            </w:pPr>
          </w:p>
        </w:tc>
      </w:tr>
    </w:tbl>
    <w:p w14:paraId="2A7D5531" w14:textId="77777777" w:rsidR="00E66558" w:rsidRDefault="00E66558">
      <w:pPr>
        <w:spacing w:after="0"/>
        <w:rPr>
          <w:b/>
          <w:color w:val="104F75"/>
          <w:sz w:val="28"/>
          <w:szCs w:val="28"/>
        </w:rPr>
      </w:pPr>
    </w:p>
    <w:p w14:paraId="0C2343C5" w14:textId="77777777" w:rsidR="00DE53BC" w:rsidRDefault="00DE53BC">
      <w:pPr>
        <w:rPr>
          <w:b/>
          <w:color w:val="104F75"/>
          <w:sz w:val="28"/>
          <w:szCs w:val="28"/>
        </w:rPr>
      </w:pPr>
    </w:p>
    <w:p w14:paraId="2A7D5532" w14:textId="5A1253BC" w:rsidR="00E66558" w:rsidRDefault="009D71E8">
      <w:pPr>
        <w:rPr>
          <w:b/>
          <w:color w:val="104F75"/>
          <w:sz w:val="28"/>
          <w:szCs w:val="28"/>
        </w:rPr>
      </w:pPr>
      <w:r>
        <w:rPr>
          <w:b/>
          <w:color w:val="104F75"/>
          <w:sz w:val="28"/>
          <w:szCs w:val="28"/>
        </w:rPr>
        <w:lastRenderedPageBreak/>
        <w:t>Wider strategies (for example, related to attendance, behaviour, wellbeing)</w:t>
      </w:r>
    </w:p>
    <w:p w14:paraId="2A7D5533" w14:textId="62CDB05C" w:rsidR="00E66558" w:rsidRDefault="009D71E8">
      <w:pPr>
        <w:spacing w:before="240" w:after="120"/>
      </w:pPr>
      <w:r>
        <w:t>Budgeted cost:</w:t>
      </w:r>
      <w:r w:rsidR="0077498C">
        <w:t xml:space="preserve"> 41</w:t>
      </w:r>
      <w:r w:rsidR="3C7F7CAD">
        <w:t>000</w:t>
      </w:r>
      <w:r>
        <w:t xml:space="preserve"> </w:t>
      </w:r>
    </w:p>
    <w:tbl>
      <w:tblPr>
        <w:tblW w:w="5000" w:type="pct"/>
        <w:tblCellMar>
          <w:left w:w="10" w:type="dxa"/>
          <w:right w:w="10" w:type="dxa"/>
        </w:tblCellMar>
        <w:tblLook w:val="04A0" w:firstRow="1" w:lastRow="0" w:firstColumn="1" w:lastColumn="0" w:noHBand="0" w:noVBand="1"/>
      </w:tblPr>
      <w:tblGrid>
        <w:gridCol w:w="3671"/>
        <w:gridCol w:w="9233"/>
        <w:gridCol w:w="2484"/>
      </w:tblGrid>
      <w:tr w:rsidR="00E66558" w14:paraId="2A7D5537" w14:textId="77777777" w:rsidTr="01D98F35">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56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1D98F35">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8C9DA3" w14:textId="53DB6D31" w:rsidR="003D00E0" w:rsidRDefault="00A65A8B">
            <w:pPr>
              <w:pStyle w:val="TableRow"/>
              <w:rPr>
                <w:iCs/>
                <w:sz w:val="22"/>
                <w:szCs w:val="22"/>
              </w:rPr>
            </w:pPr>
            <w:r>
              <w:rPr>
                <w:iCs/>
                <w:sz w:val="22"/>
                <w:szCs w:val="22"/>
              </w:rPr>
              <w:t>Mental Health Practitioner</w:t>
            </w:r>
            <w:r w:rsidR="00C63D45">
              <w:rPr>
                <w:iCs/>
                <w:sz w:val="22"/>
                <w:szCs w:val="22"/>
              </w:rPr>
              <w:t xml:space="preserve"> / Learning Mentor</w:t>
            </w:r>
            <w:r>
              <w:rPr>
                <w:iCs/>
                <w:sz w:val="22"/>
                <w:szCs w:val="22"/>
              </w:rPr>
              <w:t xml:space="preserve"> – support 1:1 and group support for SEMH needs.  </w:t>
            </w:r>
          </w:p>
          <w:p w14:paraId="7640072B" w14:textId="2EED223E" w:rsidR="003D00E0" w:rsidRDefault="003D00E0">
            <w:pPr>
              <w:pStyle w:val="TableRow"/>
              <w:rPr>
                <w:iCs/>
                <w:sz w:val="22"/>
                <w:szCs w:val="22"/>
              </w:rPr>
            </w:pPr>
          </w:p>
          <w:p w14:paraId="2A7D5538" w14:textId="03AE7187" w:rsidR="003D00E0" w:rsidRPr="006113AB" w:rsidRDefault="409995E0">
            <w:pPr>
              <w:pStyle w:val="TableRow"/>
            </w:pPr>
            <w:r>
              <w:t>£2</w:t>
            </w:r>
            <w:r w:rsidR="00DE53BC">
              <w:t>6</w:t>
            </w:r>
            <w:r>
              <w:t>000</w:t>
            </w:r>
          </w:p>
        </w:tc>
        <w:tc>
          <w:tcPr>
            <w:tcW w:w="56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251958" w14:textId="29A28BDC" w:rsidR="005B2001" w:rsidRDefault="4B7EACF0" w:rsidP="01D98F35">
            <w:pPr>
              <w:pStyle w:val="NoSpacing"/>
              <w:spacing w:line="259" w:lineRule="auto"/>
              <w:rPr>
                <w:rFonts w:ascii="Arial" w:hAnsi="Arial" w:cs="Arial"/>
              </w:rPr>
            </w:pPr>
            <w:r w:rsidRPr="01D98F35">
              <w:rPr>
                <w:rFonts w:ascii="Arial" w:hAnsi="Arial" w:cs="Arial"/>
              </w:rPr>
              <w:t xml:space="preserve">Support via play therapy or other pastoral support can lead to the following: </w:t>
            </w:r>
          </w:p>
          <w:p w14:paraId="185A5E4A" w14:textId="2E89E8D8" w:rsidR="005B2001" w:rsidRDefault="4B7EACF0" w:rsidP="01D98F35">
            <w:pPr>
              <w:pStyle w:val="NoSpacing"/>
              <w:numPr>
                <w:ilvl w:val="0"/>
                <w:numId w:val="1"/>
              </w:numPr>
              <w:spacing w:line="259" w:lineRule="auto"/>
              <w:rPr>
                <w:rFonts w:ascii="Arial" w:eastAsia="Arial" w:hAnsi="Arial" w:cs="Arial"/>
                <w:sz w:val="20"/>
                <w:szCs w:val="20"/>
              </w:rPr>
            </w:pPr>
            <w:r w:rsidRPr="01D98F35">
              <w:rPr>
                <w:rFonts w:ascii="Arial" w:eastAsia="Arial" w:hAnsi="Arial" w:cs="Arial"/>
              </w:rPr>
              <w:t xml:space="preserve">Emotional Wellbeing: Play therapy provides a safe and supportive environment for children to express their emotions, build resilience, and develop coping strategies. It helps them process and navigate challenging life experiences, which in turn positively impacts their overall emotional wellbeing. </w:t>
            </w:r>
          </w:p>
          <w:p w14:paraId="706473DF" w14:textId="253E7A4F" w:rsidR="005B2001" w:rsidRDefault="4B7EACF0" w:rsidP="01D98F35">
            <w:pPr>
              <w:pStyle w:val="NoSpacing"/>
              <w:numPr>
                <w:ilvl w:val="0"/>
                <w:numId w:val="1"/>
              </w:numPr>
              <w:spacing w:line="259" w:lineRule="auto"/>
              <w:rPr>
                <w:rFonts w:ascii="Arial" w:eastAsia="Arial" w:hAnsi="Arial" w:cs="Arial"/>
                <w:sz w:val="20"/>
                <w:szCs w:val="20"/>
              </w:rPr>
            </w:pPr>
            <w:r w:rsidRPr="01D98F35">
              <w:rPr>
                <w:rFonts w:ascii="Arial" w:eastAsia="Arial" w:hAnsi="Arial" w:cs="Arial"/>
              </w:rPr>
              <w:t>Improved Behaviour: By addressing underlying emotional and behavioural issues, play therapy contributes to a reduction in disruptive behaviours and enhances self-regulation skills. This improved behaviour creates a more conducive environment for learning and enables better academic outcomes.</w:t>
            </w:r>
          </w:p>
          <w:p w14:paraId="3FD66068" w14:textId="72766CCA" w:rsidR="005B2001" w:rsidRDefault="4B7EACF0" w:rsidP="01D98F35">
            <w:pPr>
              <w:pStyle w:val="NoSpacing"/>
              <w:numPr>
                <w:ilvl w:val="0"/>
                <w:numId w:val="1"/>
              </w:numPr>
              <w:spacing w:line="259" w:lineRule="auto"/>
              <w:rPr>
                <w:rFonts w:ascii="Arial" w:eastAsia="Arial" w:hAnsi="Arial" w:cs="Arial"/>
                <w:sz w:val="20"/>
                <w:szCs w:val="20"/>
              </w:rPr>
            </w:pPr>
            <w:r w:rsidRPr="01D98F35">
              <w:rPr>
                <w:rFonts w:ascii="Arial" w:eastAsia="Arial" w:hAnsi="Arial" w:cs="Arial"/>
              </w:rPr>
              <w:t xml:space="preserve">Enhanced Social Skills: Play therapy and pastoral support often involve opportunities for interaction and collaboration. This helps pupil premium children develop essential social skills, such as communication, empathy, and conflict resolution, leading to improved peer relationships and increased engagement in the classroom. </w:t>
            </w:r>
          </w:p>
          <w:p w14:paraId="21D891FB" w14:textId="56A41B05" w:rsidR="005B2001" w:rsidRDefault="4B7EACF0" w:rsidP="01D98F35">
            <w:pPr>
              <w:pStyle w:val="NoSpacing"/>
              <w:numPr>
                <w:ilvl w:val="0"/>
                <w:numId w:val="1"/>
              </w:numPr>
              <w:spacing w:line="259" w:lineRule="auto"/>
              <w:rPr>
                <w:rFonts w:ascii="Arial" w:eastAsia="Arial" w:hAnsi="Arial" w:cs="Arial"/>
                <w:sz w:val="20"/>
                <w:szCs w:val="20"/>
              </w:rPr>
            </w:pPr>
            <w:r w:rsidRPr="01D98F35">
              <w:rPr>
                <w:rFonts w:ascii="Arial" w:eastAsia="Arial" w:hAnsi="Arial" w:cs="Arial"/>
              </w:rPr>
              <w:t xml:space="preserve"> Increased Self-Esteem: By providing a nurturing and supportive space, play therapy and pastoral support can boost self-esteem and self-confidence in pupil premium children. This, in turn, encourages their active participation in learning activities and promotes a positive attitude towards themselves and their abilities. </w:t>
            </w:r>
          </w:p>
          <w:p w14:paraId="2A7D5539" w14:textId="7509AC3E" w:rsidR="005B2001" w:rsidRDefault="4B7EACF0" w:rsidP="01D98F35">
            <w:pPr>
              <w:pStyle w:val="NoSpacing"/>
              <w:numPr>
                <w:ilvl w:val="0"/>
                <w:numId w:val="1"/>
              </w:numPr>
              <w:spacing w:line="259" w:lineRule="auto"/>
              <w:rPr>
                <w:rFonts w:ascii="Arial" w:eastAsia="Arial" w:hAnsi="Arial" w:cs="Arial"/>
                <w:sz w:val="20"/>
                <w:szCs w:val="20"/>
              </w:rPr>
            </w:pPr>
            <w:r w:rsidRPr="01D98F35">
              <w:rPr>
                <w:rFonts w:ascii="Arial" w:eastAsia="Arial" w:hAnsi="Arial" w:cs="Arial"/>
              </w:rPr>
              <w:t>Academic Progress: When children's emotional and social needs are met, they are better able to focus on their academic development. Play therapy and pastoral support contribute to creating a positive, inclusive school environment that supports pupil premium children in reaching their full potential academically.</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82615F" w14:textId="2CBC7CD0" w:rsidR="00E31F34" w:rsidRDefault="00275DB8" w:rsidP="00E31F34">
            <w:pPr>
              <w:pStyle w:val="TableRowCentered"/>
              <w:jc w:val="left"/>
              <w:rPr>
                <w:sz w:val="22"/>
              </w:rPr>
            </w:pPr>
            <w:r>
              <w:rPr>
                <w:sz w:val="22"/>
              </w:rPr>
              <w:t xml:space="preserve">Challenge </w:t>
            </w:r>
            <w:r w:rsidR="00C63D45">
              <w:rPr>
                <w:sz w:val="22"/>
              </w:rPr>
              <w:t>3</w:t>
            </w:r>
          </w:p>
          <w:p w14:paraId="10D44EF8" w14:textId="46147D19" w:rsidR="00A65A8B" w:rsidRDefault="00DE53BC" w:rsidP="00A65A8B">
            <w:pPr>
              <w:pStyle w:val="TableRowCentered"/>
              <w:jc w:val="left"/>
              <w:rPr>
                <w:sz w:val="22"/>
              </w:rPr>
            </w:pPr>
            <w:r>
              <w:rPr>
                <w:sz w:val="22"/>
              </w:rPr>
              <w:t>SDP Objective 1</w:t>
            </w:r>
          </w:p>
          <w:p w14:paraId="20C0F74F" w14:textId="31CC571B" w:rsidR="00DE53BC" w:rsidRDefault="00DE53BC" w:rsidP="00DE53BC">
            <w:pPr>
              <w:pStyle w:val="TableRowCentered"/>
              <w:jc w:val="left"/>
              <w:rPr>
                <w:sz w:val="22"/>
              </w:rPr>
            </w:pPr>
            <w:r>
              <w:rPr>
                <w:sz w:val="22"/>
              </w:rPr>
              <w:t>SDP Objective 2</w:t>
            </w:r>
          </w:p>
          <w:p w14:paraId="41CCC1E9" w14:textId="3196914D" w:rsidR="00DE53BC" w:rsidRDefault="00DE53BC" w:rsidP="00DE53BC">
            <w:pPr>
              <w:pStyle w:val="TableRowCentered"/>
              <w:jc w:val="left"/>
              <w:rPr>
                <w:sz w:val="22"/>
              </w:rPr>
            </w:pPr>
            <w:r>
              <w:rPr>
                <w:sz w:val="22"/>
              </w:rPr>
              <w:t>SDP Objective 5</w:t>
            </w:r>
          </w:p>
          <w:p w14:paraId="1B0FF4D0" w14:textId="77777777" w:rsidR="00DE53BC" w:rsidRDefault="00DE53BC" w:rsidP="00A65A8B">
            <w:pPr>
              <w:pStyle w:val="TableRowCentered"/>
              <w:jc w:val="left"/>
              <w:rPr>
                <w:sz w:val="22"/>
              </w:rPr>
            </w:pPr>
          </w:p>
          <w:p w14:paraId="3BE63B10" w14:textId="77777777" w:rsidR="00A65A8B" w:rsidRDefault="00A65A8B" w:rsidP="00A65A8B">
            <w:pPr>
              <w:pStyle w:val="TableRowCentered"/>
            </w:pPr>
          </w:p>
          <w:p w14:paraId="2A7D553A" w14:textId="2122CC64" w:rsidR="00A65A8B" w:rsidRDefault="00A65A8B" w:rsidP="00E31F34">
            <w:pPr>
              <w:pStyle w:val="TableRowCentered"/>
              <w:jc w:val="left"/>
              <w:rPr>
                <w:sz w:val="22"/>
              </w:rPr>
            </w:pPr>
          </w:p>
        </w:tc>
      </w:tr>
      <w:tr w:rsidR="00E66558" w14:paraId="2A7D553F" w14:textId="77777777" w:rsidTr="01D98F35">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432D15" w14:textId="4E42C6F8" w:rsidR="00E66558" w:rsidRDefault="00275DB8">
            <w:pPr>
              <w:pStyle w:val="TableRow"/>
              <w:rPr>
                <w:sz w:val="22"/>
              </w:rPr>
            </w:pPr>
            <w:r>
              <w:rPr>
                <w:sz w:val="22"/>
              </w:rPr>
              <w:t>Educational visits, clubs and music tuition subsidies</w:t>
            </w:r>
            <w:r w:rsidR="000816BF">
              <w:rPr>
                <w:sz w:val="22"/>
              </w:rPr>
              <w:t>. Uniform allowance.</w:t>
            </w:r>
          </w:p>
          <w:p w14:paraId="2B22D5DE" w14:textId="77777777" w:rsidR="00A524B9" w:rsidRDefault="00A524B9">
            <w:pPr>
              <w:pStyle w:val="TableRow"/>
              <w:rPr>
                <w:sz w:val="22"/>
              </w:rPr>
            </w:pPr>
          </w:p>
          <w:p w14:paraId="2A7D553C" w14:textId="7ADD9349" w:rsidR="00A524B9" w:rsidRPr="00275DB8" w:rsidRDefault="7A44B223" w:rsidP="01D98F35">
            <w:pPr>
              <w:pStyle w:val="TableRow"/>
              <w:rPr>
                <w:sz w:val="22"/>
                <w:szCs w:val="22"/>
              </w:rPr>
            </w:pPr>
            <w:r w:rsidRPr="01D98F35">
              <w:rPr>
                <w:sz w:val="22"/>
                <w:szCs w:val="22"/>
              </w:rPr>
              <w:t>£1</w:t>
            </w:r>
            <w:r w:rsidR="62EF9D03" w:rsidRPr="01D98F35">
              <w:rPr>
                <w:sz w:val="22"/>
                <w:szCs w:val="22"/>
              </w:rPr>
              <w:t>2</w:t>
            </w:r>
            <w:r w:rsidRPr="01D98F35">
              <w:rPr>
                <w:sz w:val="22"/>
                <w:szCs w:val="22"/>
              </w:rPr>
              <w:t>000</w:t>
            </w:r>
          </w:p>
        </w:tc>
        <w:tc>
          <w:tcPr>
            <w:tcW w:w="56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E021D3" w14:textId="5DFD6DDC" w:rsidR="00E66558" w:rsidRDefault="030EEB9F" w:rsidP="01D98F35">
            <w:pPr>
              <w:pStyle w:val="TableRowCentered"/>
              <w:spacing w:line="259" w:lineRule="auto"/>
              <w:jc w:val="left"/>
              <w:rPr>
                <w:color w:val="auto"/>
                <w:sz w:val="22"/>
                <w:szCs w:val="22"/>
              </w:rPr>
            </w:pPr>
            <w:r w:rsidRPr="01D98F35">
              <w:rPr>
                <w:sz w:val="22"/>
                <w:szCs w:val="22"/>
              </w:rPr>
              <w:t>Extracurricular activities (inc. Residentials) have pro</w:t>
            </w:r>
            <w:r w:rsidRPr="01D98F35">
              <w:rPr>
                <w:color w:val="auto"/>
                <w:sz w:val="22"/>
                <w:szCs w:val="22"/>
              </w:rPr>
              <w:t xml:space="preserve">ven positive effects on outcomes for all pupils. These include: </w:t>
            </w:r>
          </w:p>
          <w:p w14:paraId="58BB014D" w14:textId="193830CB" w:rsidR="00E66558" w:rsidRDefault="030EEB9F" w:rsidP="01D98F35">
            <w:pPr>
              <w:pStyle w:val="TableRowCentered"/>
              <w:numPr>
                <w:ilvl w:val="0"/>
                <w:numId w:val="2"/>
              </w:numPr>
              <w:spacing w:line="259" w:lineRule="auto"/>
              <w:jc w:val="left"/>
              <w:rPr>
                <w:rFonts w:eastAsia="Arial" w:cs="Arial"/>
                <w:color w:val="auto"/>
                <w:sz w:val="22"/>
                <w:szCs w:val="22"/>
              </w:rPr>
            </w:pPr>
            <w:r w:rsidRPr="01D98F35">
              <w:rPr>
                <w:rFonts w:eastAsia="Arial" w:cs="Arial"/>
                <w:color w:val="auto"/>
                <w:sz w:val="22"/>
                <w:szCs w:val="22"/>
              </w:rPr>
              <w:t xml:space="preserve">Improved Attendance: Participation in extracurricular activities has been linked to increased school attendance, which directly contributes to better academic performance. </w:t>
            </w:r>
          </w:p>
          <w:p w14:paraId="686DEAD6" w14:textId="654C0653" w:rsidR="00E66558" w:rsidRDefault="030EEB9F" w:rsidP="01D98F35">
            <w:pPr>
              <w:pStyle w:val="TableRowCentered"/>
              <w:numPr>
                <w:ilvl w:val="0"/>
                <w:numId w:val="2"/>
              </w:numPr>
              <w:spacing w:line="259" w:lineRule="auto"/>
              <w:jc w:val="left"/>
              <w:rPr>
                <w:rFonts w:eastAsia="Arial" w:cs="Arial"/>
                <w:color w:val="auto"/>
                <w:sz w:val="22"/>
                <w:szCs w:val="22"/>
              </w:rPr>
            </w:pPr>
            <w:r w:rsidRPr="01D98F35">
              <w:rPr>
                <w:rFonts w:eastAsia="Arial" w:cs="Arial"/>
                <w:color w:val="auto"/>
                <w:sz w:val="22"/>
                <w:szCs w:val="22"/>
              </w:rPr>
              <w:lastRenderedPageBreak/>
              <w:t xml:space="preserve"> Enhancing Social Skills: Extracurricular activities provide opportunities for pupil premium children to develop social skills, teamwork, and leadership abilities, all of which can positively impact their academic engagement and achievement. </w:t>
            </w:r>
          </w:p>
          <w:p w14:paraId="0BF4FC91" w14:textId="590C67A5" w:rsidR="00E66558" w:rsidRDefault="030EEB9F" w:rsidP="01D98F35">
            <w:pPr>
              <w:pStyle w:val="TableRowCentered"/>
              <w:numPr>
                <w:ilvl w:val="0"/>
                <w:numId w:val="2"/>
              </w:numPr>
              <w:spacing w:line="259" w:lineRule="auto"/>
              <w:jc w:val="left"/>
              <w:rPr>
                <w:rFonts w:eastAsia="Arial" w:cs="Arial"/>
                <w:color w:val="auto"/>
                <w:sz w:val="22"/>
                <w:szCs w:val="22"/>
              </w:rPr>
            </w:pPr>
            <w:r w:rsidRPr="01D98F35">
              <w:rPr>
                <w:rFonts w:eastAsia="Arial" w:cs="Arial"/>
                <w:color w:val="auto"/>
                <w:sz w:val="22"/>
                <w:szCs w:val="22"/>
              </w:rPr>
              <w:t xml:space="preserve"> Broadening Interests: Involvement in extracurricular activities exposes these students to a wider range of interests and experiences, leading to increased curiosity, motivation, and a greater sense of belonging within the school community. </w:t>
            </w:r>
          </w:p>
          <w:p w14:paraId="0A18AC5B" w14:textId="3BC5AAD6" w:rsidR="00E66558" w:rsidRDefault="030EEB9F" w:rsidP="01D98F35">
            <w:pPr>
              <w:pStyle w:val="TableRowCentered"/>
              <w:numPr>
                <w:ilvl w:val="0"/>
                <w:numId w:val="2"/>
              </w:numPr>
              <w:spacing w:line="259" w:lineRule="auto"/>
              <w:jc w:val="left"/>
              <w:rPr>
                <w:rFonts w:eastAsia="Arial" w:cs="Arial"/>
                <w:color w:val="auto"/>
                <w:sz w:val="22"/>
                <w:szCs w:val="22"/>
              </w:rPr>
            </w:pPr>
            <w:r w:rsidRPr="01D98F35">
              <w:rPr>
                <w:rFonts w:eastAsia="Arial" w:cs="Arial"/>
                <w:color w:val="auto"/>
                <w:sz w:val="22"/>
                <w:szCs w:val="22"/>
              </w:rPr>
              <w:t xml:space="preserve">Transferable Skills: Extracurricular activities offer chances to develop transferable skills, such as time management, organization, and problem-solving, which can benefit academic performance across various subjects. </w:t>
            </w:r>
          </w:p>
          <w:p w14:paraId="2A7D553D" w14:textId="5AF55759" w:rsidR="00E66558" w:rsidRDefault="030EEB9F" w:rsidP="01D98F35">
            <w:pPr>
              <w:pStyle w:val="TableRowCentered"/>
              <w:numPr>
                <w:ilvl w:val="0"/>
                <w:numId w:val="2"/>
              </w:numPr>
              <w:spacing w:line="259" w:lineRule="auto"/>
              <w:jc w:val="left"/>
              <w:rPr>
                <w:rFonts w:ascii="Source Sans Pro" w:eastAsia="Source Sans Pro" w:hAnsi="Source Sans Pro" w:cs="Source Sans Pro"/>
                <w:color w:val="31333F"/>
                <w:szCs w:val="24"/>
              </w:rPr>
            </w:pPr>
            <w:r w:rsidRPr="01D98F35">
              <w:rPr>
                <w:rFonts w:eastAsia="Arial" w:cs="Arial"/>
                <w:color w:val="auto"/>
                <w:sz w:val="22"/>
                <w:szCs w:val="22"/>
              </w:rPr>
              <w:t xml:space="preserve">Positive Wellbeing: Participating in enjoyable and fulfilling extracurricular activities can contribute to improved mental health and wellbeing, creating a conducive environment for better academic outcomes. </w:t>
            </w:r>
            <w:r w:rsidR="005B2001">
              <w:br/>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E706FB" w14:textId="77777777" w:rsidR="00275DB8" w:rsidRDefault="00275DB8">
            <w:pPr>
              <w:pStyle w:val="TableRowCentered"/>
              <w:jc w:val="left"/>
              <w:rPr>
                <w:sz w:val="22"/>
              </w:rPr>
            </w:pPr>
            <w:r>
              <w:rPr>
                <w:sz w:val="22"/>
              </w:rPr>
              <w:lastRenderedPageBreak/>
              <w:t>Challenge 5</w:t>
            </w:r>
          </w:p>
          <w:p w14:paraId="2A7D553E" w14:textId="6B47F28C" w:rsidR="00A65A8B" w:rsidRDefault="00A65A8B">
            <w:pPr>
              <w:pStyle w:val="TableRowCentered"/>
              <w:jc w:val="left"/>
              <w:rPr>
                <w:sz w:val="22"/>
              </w:rPr>
            </w:pPr>
            <w:r>
              <w:rPr>
                <w:sz w:val="22"/>
              </w:rPr>
              <w:t>SDP Objective 5</w:t>
            </w:r>
          </w:p>
        </w:tc>
      </w:tr>
      <w:tr w:rsidR="00DE53BC" w14:paraId="7E0DC81E" w14:textId="77777777" w:rsidTr="01D98F35">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EC6A07" w14:textId="3E467E19" w:rsidR="00DE53BC" w:rsidRDefault="00DE53BC" w:rsidP="00DE53BC">
            <w:pPr>
              <w:pStyle w:val="TableRow"/>
              <w:rPr>
                <w:sz w:val="22"/>
              </w:rPr>
            </w:pPr>
            <w:r>
              <w:rPr>
                <w:sz w:val="22"/>
              </w:rPr>
              <w:t>Participation in sporting events throughout the school academic year – employment of sports coach on 25 hours a week</w:t>
            </w:r>
          </w:p>
          <w:p w14:paraId="543138D6" w14:textId="77777777" w:rsidR="00DE53BC" w:rsidRDefault="00DE53BC" w:rsidP="00DE53BC">
            <w:pPr>
              <w:pStyle w:val="TableRow"/>
              <w:rPr>
                <w:sz w:val="22"/>
              </w:rPr>
            </w:pPr>
          </w:p>
          <w:p w14:paraId="730E02E3" w14:textId="0B5B77D1" w:rsidR="00DE53BC" w:rsidRDefault="00DE53BC" w:rsidP="00DE53BC">
            <w:pPr>
              <w:pStyle w:val="TableRow"/>
              <w:rPr>
                <w:sz w:val="22"/>
              </w:rPr>
            </w:pPr>
            <w:r>
              <w:rPr>
                <w:sz w:val="22"/>
              </w:rPr>
              <w:t>£3000</w:t>
            </w:r>
          </w:p>
        </w:tc>
        <w:tc>
          <w:tcPr>
            <w:tcW w:w="56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A359F4" w14:textId="77777777" w:rsidR="00DE53BC" w:rsidRDefault="00DE53BC" w:rsidP="00DE53BC">
            <w:pPr>
              <w:pStyle w:val="TableRowCentered"/>
              <w:numPr>
                <w:ilvl w:val="0"/>
                <w:numId w:val="36"/>
              </w:numPr>
              <w:spacing w:line="259" w:lineRule="auto"/>
              <w:jc w:val="left"/>
              <w:rPr>
                <w:sz w:val="22"/>
                <w:szCs w:val="22"/>
              </w:rPr>
            </w:pPr>
            <w:r>
              <w:rPr>
                <w:sz w:val="22"/>
                <w:szCs w:val="22"/>
              </w:rPr>
              <w:t xml:space="preserve">Building self-esteem and confidence by having success and building resilience. </w:t>
            </w:r>
          </w:p>
          <w:p w14:paraId="25F886E2" w14:textId="77777777" w:rsidR="00DE53BC" w:rsidRDefault="00DE53BC" w:rsidP="00DE53BC">
            <w:pPr>
              <w:pStyle w:val="TableRowCentered"/>
              <w:numPr>
                <w:ilvl w:val="0"/>
                <w:numId w:val="36"/>
              </w:numPr>
              <w:spacing w:line="259" w:lineRule="auto"/>
              <w:jc w:val="left"/>
              <w:rPr>
                <w:sz w:val="22"/>
                <w:szCs w:val="22"/>
              </w:rPr>
            </w:pPr>
            <w:r>
              <w:rPr>
                <w:sz w:val="22"/>
                <w:szCs w:val="22"/>
              </w:rPr>
              <w:t>Improving social skills and teamwork through participating alongside peers</w:t>
            </w:r>
          </w:p>
          <w:p w14:paraId="7E085140" w14:textId="77777777" w:rsidR="00DE53BC" w:rsidRDefault="00DE53BC" w:rsidP="00DE53BC">
            <w:pPr>
              <w:pStyle w:val="TableRowCentered"/>
              <w:numPr>
                <w:ilvl w:val="0"/>
                <w:numId w:val="36"/>
              </w:numPr>
              <w:spacing w:line="259" w:lineRule="auto"/>
              <w:jc w:val="left"/>
              <w:rPr>
                <w:sz w:val="22"/>
                <w:szCs w:val="22"/>
              </w:rPr>
            </w:pPr>
            <w:r>
              <w:rPr>
                <w:sz w:val="22"/>
                <w:szCs w:val="22"/>
              </w:rPr>
              <w:t>Boosting engagement and motivation by having positive experiences of school life</w:t>
            </w:r>
          </w:p>
          <w:p w14:paraId="746FBB06" w14:textId="77777777" w:rsidR="00DE53BC" w:rsidRDefault="00DE53BC" w:rsidP="00DE53BC">
            <w:pPr>
              <w:pStyle w:val="TableRowCentered"/>
              <w:numPr>
                <w:ilvl w:val="0"/>
                <w:numId w:val="36"/>
              </w:numPr>
              <w:spacing w:line="259" w:lineRule="auto"/>
              <w:jc w:val="left"/>
              <w:rPr>
                <w:sz w:val="22"/>
                <w:szCs w:val="22"/>
              </w:rPr>
            </w:pPr>
            <w:r>
              <w:rPr>
                <w:sz w:val="22"/>
                <w:szCs w:val="22"/>
              </w:rPr>
              <w:t>Enhancing physical and mental health through exercise and teamwork</w:t>
            </w:r>
          </w:p>
          <w:p w14:paraId="2057940F" w14:textId="77777777" w:rsidR="00DE53BC" w:rsidRDefault="00DE53BC" w:rsidP="00DE53BC">
            <w:pPr>
              <w:pStyle w:val="TableRowCentered"/>
              <w:numPr>
                <w:ilvl w:val="0"/>
                <w:numId w:val="36"/>
              </w:numPr>
              <w:spacing w:line="259" w:lineRule="auto"/>
              <w:jc w:val="left"/>
              <w:rPr>
                <w:sz w:val="22"/>
                <w:szCs w:val="22"/>
              </w:rPr>
            </w:pPr>
            <w:r>
              <w:rPr>
                <w:sz w:val="22"/>
                <w:szCs w:val="22"/>
              </w:rPr>
              <w:t>Developing discipline which will have a positive impact in being able to transfer to more academic work</w:t>
            </w:r>
          </w:p>
          <w:p w14:paraId="7B91B7B2" w14:textId="6A86D89A" w:rsidR="00DE53BC" w:rsidRPr="01D98F35" w:rsidRDefault="00DE53BC" w:rsidP="00DE53BC">
            <w:pPr>
              <w:pStyle w:val="TableRowCentered"/>
              <w:numPr>
                <w:ilvl w:val="0"/>
                <w:numId w:val="36"/>
              </w:numPr>
              <w:spacing w:line="259" w:lineRule="auto"/>
              <w:jc w:val="left"/>
              <w:rPr>
                <w:sz w:val="22"/>
                <w:szCs w:val="22"/>
              </w:rPr>
            </w:pPr>
            <w:r>
              <w:rPr>
                <w:sz w:val="22"/>
                <w:szCs w:val="22"/>
              </w:rPr>
              <w:t>Expanding opportunities beyond those available to them outside of school</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4123F9" w14:textId="77777777" w:rsidR="00DE53BC" w:rsidRDefault="00DE53BC">
            <w:pPr>
              <w:pStyle w:val="TableRowCentered"/>
              <w:jc w:val="left"/>
              <w:rPr>
                <w:sz w:val="22"/>
              </w:rPr>
            </w:pPr>
          </w:p>
        </w:tc>
      </w:tr>
    </w:tbl>
    <w:p w14:paraId="2A7D5541" w14:textId="3626A436" w:rsidR="00E66558" w:rsidRPr="00AE0334" w:rsidRDefault="009D71E8" w:rsidP="01D98F35">
      <w:pPr>
        <w:rPr>
          <w:b/>
          <w:bCs/>
          <w:color w:val="104F75"/>
          <w:sz w:val="28"/>
          <w:szCs w:val="28"/>
        </w:rPr>
      </w:pPr>
      <w:r w:rsidRPr="01D98F35">
        <w:rPr>
          <w:b/>
          <w:bCs/>
          <w:color w:val="104F75"/>
          <w:sz w:val="28"/>
          <w:szCs w:val="28"/>
        </w:rPr>
        <w:t>Total budgeted cost: £</w:t>
      </w:r>
      <w:r w:rsidR="00DE53BC">
        <w:rPr>
          <w:b/>
          <w:bCs/>
          <w:color w:val="104F75"/>
          <w:sz w:val="28"/>
          <w:szCs w:val="28"/>
        </w:rPr>
        <w:t>64900</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1E1AF778" w:rsidR="00E66558" w:rsidRDefault="009D71E8">
      <w:r>
        <w:t>This details the impact that our pupil premium a</w:t>
      </w:r>
      <w:r w:rsidR="000C7AFA">
        <w:t>ctivity had on pupils in the 203</w:t>
      </w:r>
      <w:r w:rsidR="34769D7C">
        <w:t>2</w:t>
      </w:r>
      <w:r>
        <w:t xml:space="preserve"> to 202</w:t>
      </w:r>
      <w:r w:rsidR="000C7AFA">
        <w:t>4</w:t>
      </w:r>
      <w:r>
        <w:t xml:space="preserve"> academic year. </w:t>
      </w:r>
    </w:p>
    <w:p w14:paraId="2A7D555F" w14:textId="77777777" w:rsidR="00E66558" w:rsidRDefault="00E66558">
      <w:pPr>
        <w:spacing w:after="0" w:line="240" w:lineRule="auto"/>
      </w:pPr>
    </w:p>
    <w:bookmarkEnd w:id="14"/>
    <w:bookmarkEnd w:id="15"/>
    <w:bookmarkEnd w:id="16"/>
    <w:tbl>
      <w:tblPr>
        <w:tblStyle w:val="TableGrid"/>
        <w:tblW w:w="15727" w:type="dxa"/>
        <w:tblInd w:w="-339" w:type="dxa"/>
        <w:tblLook w:val="04A0" w:firstRow="1" w:lastRow="0" w:firstColumn="1" w:lastColumn="0" w:noHBand="0" w:noVBand="1"/>
      </w:tblPr>
      <w:tblGrid>
        <w:gridCol w:w="1282"/>
        <w:gridCol w:w="1749"/>
        <w:gridCol w:w="1862"/>
        <w:gridCol w:w="1867"/>
        <w:gridCol w:w="1641"/>
        <w:gridCol w:w="1754"/>
        <w:gridCol w:w="1806"/>
        <w:gridCol w:w="1789"/>
        <w:gridCol w:w="659"/>
        <w:gridCol w:w="659"/>
        <w:gridCol w:w="659"/>
      </w:tblGrid>
      <w:tr w:rsidR="003832E7" w14:paraId="3DD93A43" w14:textId="77777777" w:rsidTr="002F1A74">
        <w:trPr>
          <w:trHeight w:val="405"/>
        </w:trPr>
        <w:tc>
          <w:tcPr>
            <w:tcW w:w="1196" w:type="dxa"/>
            <w:vMerge w:val="restart"/>
          </w:tcPr>
          <w:p w14:paraId="0A7450B1" w14:textId="77777777" w:rsidR="003832E7" w:rsidRPr="008F38C9" w:rsidRDefault="003832E7" w:rsidP="002F1A74">
            <w:pPr>
              <w:rPr>
                <w:lang w:val="en-US"/>
              </w:rPr>
            </w:pPr>
          </w:p>
        </w:tc>
        <w:tc>
          <w:tcPr>
            <w:tcW w:w="1765" w:type="dxa"/>
            <w:vMerge w:val="restart"/>
          </w:tcPr>
          <w:p w14:paraId="2B48553E" w14:textId="77777777" w:rsidR="003832E7" w:rsidRPr="008F38C9" w:rsidRDefault="003832E7" w:rsidP="002F1A74">
            <w:pPr>
              <w:rPr>
                <w:lang w:val="en-US"/>
              </w:rPr>
            </w:pPr>
            <w:r w:rsidRPr="008F38C9">
              <w:rPr>
                <w:lang w:val="en-US"/>
              </w:rPr>
              <w:t>GLD</w:t>
            </w:r>
            <w:r>
              <w:rPr>
                <w:lang w:val="en-US"/>
              </w:rPr>
              <w:t xml:space="preserve"> (EYFS)</w:t>
            </w:r>
          </w:p>
        </w:tc>
        <w:tc>
          <w:tcPr>
            <w:tcW w:w="1874" w:type="dxa"/>
            <w:vMerge w:val="restart"/>
          </w:tcPr>
          <w:p w14:paraId="10FAF52E" w14:textId="77777777" w:rsidR="003832E7" w:rsidRPr="008F38C9" w:rsidRDefault="003832E7" w:rsidP="002F1A74">
            <w:pPr>
              <w:rPr>
                <w:lang w:val="en-US"/>
              </w:rPr>
            </w:pPr>
            <w:r>
              <w:rPr>
                <w:lang w:val="en-US"/>
              </w:rPr>
              <w:t>Phonics Screening (Y1)</w:t>
            </w:r>
          </w:p>
        </w:tc>
        <w:tc>
          <w:tcPr>
            <w:tcW w:w="1879" w:type="dxa"/>
            <w:vMerge w:val="restart"/>
          </w:tcPr>
          <w:p w14:paraId="069CAE65" w14:textId="77777777" w:rsidR="003832E7" w:rsidRPr="008F38C9" w:rsidRDefault="003832E7" w:rsidP="002F1A74">
            <w:pPr>
              <w:rPr>
                <w:lang w:val="en-US"/>
              </w:rPr>
            </w:pPr>
            <w:r>
              <w:rPr>
                <w:lang w:val="en-US"/>
              </w:rPr>
              <w:t>Non Statutory SATS combined (R, W, M) (Y2)</w:t>
            </w:r>
          </w:p>
        </w:tc>
        <w:tc>
          <w:tcPr>
            <w:tcW w:w="1642" w:type="dxa"/>
            <w:vMerge w:val="restart"/>
          </w:tcPr>
          <w:p w14:paraId="43DB1383" w14:textId="77777777" w:rsidR="003832E7" w:rsidRDefault="003832E7" w:rsidP="002F1A74">
            <w:pPr>
              <w:rPr>
                <w:lang w:val="en-US"/>
              </w:rPr>
            </w:pPr>
            <w:r>
              <w:rPr>
                <w:lang w:val="en-US"/>
              </w:rPr>
              <w:t>Multiplication Check (MTC) (Y4) - % of pupils scoring full marks</w:t>
            </w:r>
          </w:p>
        </w:tc>
        <w:tc>
          <w:tcPr>
            <w:tcW w:w="1770" w:type="dxa"/>
            <w:vMerge w:val="restart"/>
          </w:tcPr>
          <w:p w14:paraId="4688529E" w14:textId="77777777" w:rsidR="003832E7" w:rsidRDefault="003832E7" w:rsidP="002F1A74">
            <w:pPr>
              <w:rPr>
                <w:lang w:val="en-US"/>
              </w:rPr>
            </w:pPr>
            <w:r>
              <w:rPr>
                <w:lang w:val="en-US"/>
              </w:rPr>
              <w:t>SATS – Maths (Y6)</w:t>
            </w:r>
          </w:p>
          <w:p w14:paraId="76D662EB" w14:textId="77777777" w:rsidR="003832E7" w:rsidRPr="008F38C9" w:rsidRDefault="003832E7" w:rsidP="002F1A74">
            <w:pPr>
              <w:rPr>
                <w:lang w:val="en-US"/>
              </w:rPr>
            </w:pPr>
            <w:r>
              <w:rPr>
                <w:lang w:val="en-US"/>
              </w:rPr>
              <w:t>ARE+</w:t>
            </w:r>
          </w:p>
        </w:tc>
        <w:tc>
          <w:tcPr>
            <w:tcW w:w="1820" w:type="dxa"/>
            <w:vMerge w:val="restart"/>
          </w:tcPr>
          <w:p w14:paraId="199DC450" w14:textId="77777777" w:rsidR="003832E7" w:rsidRDefault="003832E7" w:rsidP="002F1A74">
            <w:pPr>
              <w:rPr>
                <w:lang w:val="en-US"/>
              </w:rPr>
            </w:pPr>
            <w:r>
              <w:rPr>
                <w:lang w:val="en-US"/>
              </w:rPr>
              <w:t>SATS – Reading (Y6)</w:t>
            </w:r>
          </w:p>
          <w:p w14:paraId="5480FD1D" w14:textId="77777777" w:rsidR="003832E7" w:rsidRPr="008F38C9" w:rsidRDefault="003832E7" w:rsidP="002F1A74">
            <w:pPr>
              <w:rPr>
                <w:lang w:val="en-US"/>
              </w:rPr>
            </w:pPr>
            <w:r>
              <w:rPr>
                <w:lang w:val="en-US"/>
              </w:rPr>
              <w:t>ARE+</w:t>
            </w:r>
          </w:p>
        </w:tc>
        <w:tc>
          <w:tcPr>
            <w:tcW w:w="1804" w:type="dxa"/>
            <w:vMerge w:val="restart"/>
          </w:tcPr>
          <w:p w14:paraId="737B2962" w14:textId="77777777" w:rsidR="003832E7" w:rsidRDefault="003832E7" w:rsidP="002F1A74">
            <w:pPr>
              <w:rPr>
                <w:lang w:val="en-US"/>
              </w:rPr>
            </w:pPr>
            <w:r>
              <w:rPr>
                <w:lang w:val="en-US"/>
              </w:rPr>
              <w:t>SATS – Writing (Y6)</w:t>
            </w:r>
          </w:p>
          <w:p w14:paraId="56EF8B5D" w14:textId="77777777" w:rsidR="003832E7" w:rsidRDefault="003832E7" w:rsidP="002F1A74">
            <w:pPr>
              <w:rPr>
                <w:lang w:val="en-US"/>
              </w:rPr>
            </w:pPr>
            <w:r>
              <w:rPr>
                <w:lang w:val="en-US"/>
              </w:rPr>
              <w:t>ARE+</w:t>
            </w:r>
          </w:p>
        </w:tc>
        <w:tc>
          <w:tcPr>
            <w:tcW w:w="1977" w:type="dxa"/>
            <w:gridSpan w:val="3"/>
          </w:tcPr>
          <w:p w14:paraId="3EC244E1" w14:textId="77777777" w:rsidR="003832E7" w:rsidRDefault="003832E7" w:rsidP="002F1A74">
            <w:pPr>
              <w:rPr>
                <w:lang w:val="en-US"/>
              </w:rPr>
            </w:pPr>
            <w:r>
              <w:rPr>
                <w:lang w:val="en-US"/>
              </w:rPr>
              <w:t xml:space="preserve">Whole School </w:t>
            </w:r>
          </w:p>
        </w:tc>
      </w:tr>
      <w:tr w:rsidR="003832E7" w14:paraId="5C5E24AE" w14:textId="77777777" w:rsidTr="003D5730">
        <w:trPr>
          <w:trHeight w:val="610"/>
        </w:trPr>
        <w:tc>
          <w:tcPr>
            <w:tcW w:w="1196" w:type="dxa"/>
            <w:vMerge/>
          </w:tcPr>
          <w:p w14:paraId="519D03F7" w14:textId="77777777" w:rsidR="003832E7" w:rsidRPr="008F38C9" w:rsidRDefault="003832E7" w:rsidP="002F1A74">
            <w:pPr>
              <w:rPr>
                <w:lang w:val="en-US"/>
              </w:rPr>
            </w:pPr>
          </w:p>
        </w:tc>
        <w:tc>
          <w:tcPr>
            <w:tcW w:w="1765" w:type="dxa"/>
            <w:vMerge/>
          </w:tcPr>
          <w:p w14:paraId="0FADFC97" w14:textId="77777777" w:rsidR="003832E7" w:rsidRPr="008F38C9" w:rsidRDefault="003832E7" w:rsidP="002F1A74">
            <w:pPr>
              <w:rPr>
                <w:lang w:val="en-US"/>
              </w:rPr>
            </w:pPr>
          </w:p>
        </w:tc>
        <w:tc>
          <w:tcPr>
            <w:tcW w:w="1874" w:type="dxa"/>
            <w:vMerge/>
          </w:tcPr>
          <w:p w14:paraId="20BFE8E0" w14:textId="77777777" w:rsidR="003832E7" w:rsidRDefault="003832E7" w:rsidP="002F1A74">
            <w:pPr>
              <w:rPr>
                <w:lang w:val="en-US"/>
              </w:rPr>
            </w:pPr>
          </w:p>
        </w:tc>
        <w:tc>
          <w:tcPr>
            <w:tcW w:w="1879" w:type="dxa"/>
            <w:vMerge/>
          </w:tcPr>
          <w:p w14:paraId="7D559FCE" w14:textId="77777777" w:rsidR="003832E7" w:rsidRDefault="003832E7" w:rsidP="002F1A74">
            <w:pPr>
              <w:rPr>
                <w:lang w:val="en-US"/>
              </w:rPr>
            </w:pPr>
          </w:p>
        </w:tc>
        <w:tc>
          <w:tcPr>
            <w:tcW w:w="1642" w:type="dxa"/>
            <w:vMerge/>
          </w:tcPr>
          <w:p w14:paraId="58E09826" w14:textId="77777777" w:rsidR="003832E7" w:rsidRDefault="003832E7" w:rsidP="002F1A74">
            <w:pPr>
              <w:rPr>
                <w:lang w:val="en-US"/>
              </w:rPr>
            </w:pPr>
          </w:p>
        </w:tc>
        <w:tc>
          <w:tcPr>
            <w:tcW w:w="1770" w:type="dxa"/>
            <w:vMerge/>
          </w:tcPr>
          <w:p w14:paraId="3B39BC74" w14:textId="77777777" w:rsidR="003832E7" w:rsidRDefault="003832E7" w:rsidP="002F1A74">
            <w:pPr>
              <w:rPr>
                <w:lang w:val="en-US"/>
              </w:rPr>
            </w:pPr>
          </w:p>
        </w:tc>
        <w:tc>
          <w:tcPr>
            <w:tcW w:w="1820" w:type="dxa"/>
            <w:vMerge/>
          </w:tcPr>
          <w:p w14:paraId="30FF6F08" w14:textId="77777777" w:rsidR="003832E7" w:rsidRDefault="003832E7" w:rsidP="002F1A74">
            <w:pPr>
              <w:rPr>
                <w:lang w:val="en-US"/>
              </w:rPr>
            </w:pPr>
          </w:p>
        </w:tc>
        <w:tc>
          <w:tcPr>
            <w:tcW w:w="1804" w:type="dxa"/>
            <w:vMerge/>
          </w:tcPr>
          <w:p w14:paraId="525344EC" w14:textId="77777777" w:rsidR="003832E7" w:rsidRDefault="003832E7" w:rsidP="002F1A74">
            <w:pPr>
              <w:rPr>
                <w:lang w:val="en-US"/>
              </w:rPr>
            </w:pPr>
          </w:p>
        </w:tc>
        <w:tc>
          <w:tcPr>
            <w:tcW w:w="659" w:type="dxa"/>
          </w:tcPr>
          <w:p w14:paraId="5F87E25B" w14:textId="77777777" w:rsidR="003832E7" w:rsidRDefault="003832E7" w:rsidP="002F1A74">
            <w:pPr>
              <w:rPr>
                <w:lang w:val="en-US"/>
              </w:rPr>
            </w:pPr>
            <w:r>
              <w:rPr>
                <w:lang w:val="en-US"/>
              </w:rPr>
              <w:t>M</w:t>
            </w:r>
          </w:p>
        </w:tc>
        <w:tc>
          <w:tcPr>
            <w:tcW w:w="659" w:type="dxa"/>
          </w:tcPr>
          <w:p w14:paraId="7B03A7FA" w14:textId="77777777" w:rsidR="003832E7" w:rsidRDefault="003832E7" w:rsidP="002F1A74">
            <w:pPr>
              <w:rPr>
                <w:lang w:val="en-US"/>
              </w:rPr>
            </w:pPr>
            <w:r>
              <w:rPr>
                <w:lang w:val="en-US"/>
              </w:rPr>
              <w:t>R</w:t>
            </w:r>
          </w:p>
        </w:tc>
        <w:tc>
          <w:tcPr>
            <w:tcW w:w="659" w:type="dxa"/>
          </w:tcPr>
          <w:p w14:paraId="565029BD" w14:textId="77777777" w:rsidR="003832E7" w:rsidRDefault="003832E7" w:rsidP="002F1A74">
            <w:pPr>
              <w:rPr>
                <w:lang w:val="en-US"/>
              </w:rPr>
            </w:pPr>
            <w:r>
              <w:rPr>
                <w:lang w:val="en-US"/>
              </w:rPr>
              <w:t>W</w:t>
            </w:r>
          </w:p>
        </w:tc>
      </w:tr>
      <w:tr w:rsidR="003832E7" w14:paraId="4BA6132D" w14:textId="77777777" w:rsidTr="002F1A74">
        <w:trPr>
          <w:trHeight w:val="653"/>
        </w:trPr>
        <w:tc>
          <w:tcPr>
            <w:tcW w:w="1196" w:type="dxa"/>
          </w:tcPr>
          <w:p w14:paraId="22B20C11" w14:textId="77777777" w:rsidR="003832E7" w:rsidRPr="008F38C9" w:rsidRDefault="003832E7" w:rsidP="002F1A74">
            <w:pPr>
              <w:rPr>
                <w:lang w:val="en-US"/>
              </w:rPr>
            </w:pPr>
            <w:r>
              <w:rPr>
                <w:lang w:val="en-US"/>
              </w:rPr>
              <w:t>2022 / 2023</w:t>
            </w:r>
          </w:p>
        </w:tc>
        <w:tc>
          <w:tcPr>
            <w:tcW w:w="1765" w:type="dxa"/>
          </w:tcPr>
          <w:p w14:paraId="2385AE63" w14:textId="77777777" w:rsidR="003832E7" w:rsidRPr="008F38C9" w:rsidRDefault="003832E7" w:rsidP="002F1A74">
            <w:pPr>
              <w:rPr>
                <w:lang w:val="en-US"/>
              </w:rPr>
            </w:pPr>
            <w:r>
              <w:rPr>
                <w:lang w:val="en-US"/>
              </w:rPr>
              <w:t>50%</w:t>
            </w:r>
          </w:p>
        </w:tc>
        <w:tc>
          <w:tcPr>
            <w:tcW w:w="1874" w:type="dxa"/>
          </w:tcPr>
          <w:p w14:paraId="5A7FC702" w14:textId="77777777" w:rsidR="003832E7" w:rsidRPr="008F38C9" w:rsidRDefault="003832E7" w:rsidP="002F1A74">
            <w:pPr>
              <w:rPr>
                <w:lang w:val="en-US"/>
              </w:rPr>
            </w:pPr>
            <w:r>
              <w:rPr>
                <w:lang w:val="en-US"/>
              </w:rPr>
              <w:t>80%</w:t>
            </w:r>
          </w:p>
        </w:tc>
        <w:tc>
          <w:tcPr>
            <w:tcW w:w="1879" w:type="dxa"/>
          </w:tcPr>
          <w:p w14:paraId="730276A8" w14:textId="77777777" w:rsidR="003832E7" w:rsidRPr="008F38C9" w:rsidRDefault="003832E7" w:rsidP="002F1A74">
            <w:pPr>
              <w:rPr>
                <w:lang w:val="en-US"/>
              </w:rPr>
            </w:pPr>
            <w:r>
              <w:rPr>
                <w:lang w:val="en-US"/>
              </w:rPr>
              <w:t>100%</w:t>
            </w:r>
          </w:p>
        </w:tc>
        <w:tc>
          <w:tcPr>
            <w:tcW w:w="1642" w:type="dxa"/>
          </w:tcPr>
          <w:p w14:paraId="408F108E" w14:textId="77777777" w:rsidR="003832E7" w:rsidRDefault="003832E7" w:rsidP="002F1A74">
            <w:pPr>
              <w:rPr>
                <w:lang w:val="en-US"/>
              </w:rPr>
            </w:pPr>
            <w:r>
              <w:rPr>
                <w:lang w:val="en-US"/>
              </w:rPr>
              <w:t>No data</w:t>
            </w:r>
          </w:p>
        </w:tc>
        <w:tc>
          <w:tcPr>
            <w:tcW w:w="1770" w:type="dxa"/>
          </w:tcPr>
          <w:p w14:paraId="4B7AE570" w14:textId="77777777" w:rsidR="003832E7" w:rsidRPr="008F38C9" w:rsidRDefault="003832E7" w:rsidP="002F1A74">
            <w:pPr>
              <w:rPr>
                <w:lang w:val="en-US"/>
              </w:rPr>
            </w:pPr>
            <w:r>
              <w:rPr>
                <w:lang w:val="en-US"/>
              </w:rPr>
              <w:t>100% of which 20% GD</w:t>
            </w:r>
          </w:p>
        </w:tc>
        <w:tc>
          <w:tcPr>
            <w:tcW w:w="1820" w:type="dxa"/>
          </w:tcPr>
          <w:p w14:paraId="44C0C8F6" w14:textId="77777777" w:rsidR="003832E7" w:rsidRPr="008F38C9" w:rsidRDefault="003832E7" w:rsidP="002F1A74">
            <w:pPr>
              <w:rPr>
                <w:lang w:val="en-US"/>
              </w:rPr>
            </w:pPr>
            <w:r>
              <w:rPr>
                <w:lang w:val="en-US"/>
              </w:rPr>
              <w:t>100% of which 60% GD</w:t>
            </w:r>
          </w:p>
        </w:tc>
        <w:tc>
          <w:tcPr>
            <w:tcW w:w="1804" w:type="dxa"/>
          </w:tcPr>
          <w:p w14:paraId="32EA65F3" w14:textId="77777777" w:rsidR="003832E7" w:rsidRPr="008F38C9" w:rsidRDefault="003832E7" w:rsidP="002F1A74">
            <w:pPr>
              <w:rPr>
                <w:lang w:val="en-US"/>
              </w:rPr>
            </w:pPr>
            <w:r>
              <w:rPr>
                <w:lang w:val="en-US"/>
              </w:rPr>
              <w:t xml:space="preserve">100% </w:t>
            </w:r>
          </w:p>
        </w:tc>
        <w:tc>
          <w:tcPr>
            <w:tcW w:w="659" w:type="dxa"/>
          </w:tcPr>
          <w:p w14:paraId="6555FA49" w14:textId="77777777" w:rsidR="003832E7" w:rsidRDefault="003832E7" w:rsidP="002F1A74">
            <w:pPr>
              <w:rPr>
                <w:lang w:val="en-US"/>
              </w:rPr>
            </w:pPr>
            <w:r>
              <w:rPr>
                <w:lang w:val="en-US"/>
              </w:rPr>
              <w:t>67% ARE 17% GD</w:t>
            </w:r>
          </w:p>
        </w:tc>
        <w:tc>
          <w:tcPr>
            <w:tcW w:w="659" w:type="dxa"/>
          </w:tcPr>
          <w:p w14:paraId="2E6FA8A6" w14:textId="77777777" w:rsidR="003832E7" w:rsidRDefault="003832E7" w:rsidP="002F1A74">
            <w:pPr>
              <w:rPr>
                <w:lang w:val="en-US"/>
              </w:rPr>
            </w:pPr>
            <w:r>
              <w:rPr>
                <w:lang w:val="en-US"/>
              </w:rPr>
              <w:t>53% ARE 22% GD</w:t>
            </w:r>
          </w:p>
        </w:tc>
        <w:tc>
          <w:tcPr>
            <w:tcW w:w="659" w:type="dxa"/>
          </w:tcPr>
          <w:p w14:paraId="0CA5B1E3" w14:textId="77777777" w:rsidR="003832E7" w:rsidRDefault="003832E7" w:rsidP="002F1A74">
            <w:pPr>
              <w:rPr>
                <w:lang w:val="en-US"/>
              </w:rPr>
            </w:pPr>
            <w:r>
              <w:rPr>
                <w:lang w:val="en-US"/>
              </w:rPr>
              <w:t>67% ARE 2% GD</w:t>
            </w:r>
          </w:p>
        </w:tc>
      </w:tr>
      <w:tr w:rsidR="003832E7" w14:paraId="42E25C6B" w14:textId="77777777" w:rsidTr="002F1A74">
        <w:trPr>
          <w:trHeight w:val="653"/>
        </w:trPr>
        <w:tc>
          <w:tcPr>
            <w:tcW w:w="1196" w:type="dxa"/>
          </w:tcPr>
          <w:p w14:paraId="3D3A8AA7" w14:textId="77777777" w:rsidR="003832E7" w:rsidRPr="008F38C9" w:rsidRDefault="003832E7" w:rsidP="002F1A74">
            <w:pPr>
              <w:rPr>
                <w:lang w:val="en-US"/>
              </w:rPr>
            </w:pPr>
            <w:r>
              <w:rPr>
                <w:lang w:val="en-US"/>
              </w:rPr>
              <w:t>2023 / 2024</w:t>
            </w:r>
          </w:p>
        </w:tc>
        <w:tc>
          <w:tcPr>
            <w:tcW w:w="1765" w:type="dxa"/>
          </w:tcPr>
          <w:p w14:paraId="09E5F253" w14:textId="77777777" w:rsidR="003832E7" w:rsidRPr="008F38C9" w:rsidRDefault="003832E7" w:rsidP="002F1A74">
            <w:pPr>
              <w:rPr>
                <w:lang w:val="en-US"/>
              </w:rPr>
            </w:pPr>
            <w:r>
              <w:rPr>
                <w:lang w:val="en-US"/>
              </w:rPr>
              <w:t>100%</w:t>
            </w:r>
          </w:p>
        </w:tc>
        <w:tc>
          <w:tcPr>
            <w:tcW w:w="1874" w:type="dxa"/>
          </w:tcPr>
          <w:p w14:paraId="558E22D5" w14:textId="77777777" w:rsidR="003832E7" w:rsidRPr="008F38C9" w:rsidRDefault="003832E7" w:rsidP="002F1A74">
            <w:pPr>
              <w:rPr>
                <w:lang w:val="en-US"/>
              </w:rPr>
            </w:pPr>
            <w:r>
              <w:rPr>
                <w:lang w:val="en-US"/>
              </w:rPr>
              <w:t>50%</w:t>
            </w:r>
          </w:p>
        </w:tc>
        <w:tc>
          <w:tcPr>
            <w:tcW w:w="1879" w:type="dxa"/>
          </w:tcPr>
          <w:p w14:paraId="48DB2690" w14:textId="77777777" w:rsidR="003832E7" w:rsidRPr="008F38C9" w:rsidRDefault="003832E7" w:rsidP="002F1A74">
            <w:pPr>
              <w:rPr>
                <w:lang w:val="en-US"/>
              </w:rPr>
            </w:pPr>
            <w:r>
              <w:rPr>
                <w:lang w:val="en-US"/>
              </w:rPr>
              <w:t>N/A</w:t>
            </w:r>
          </w:p>
        </w:tc>
        <w:tc>
          <w:tcPr>
            <w:tcW w:w="1642" w:type="dxa"/>
          </w:tcPr>
          <w:p w14:paraId="1A632C58" w14:textId="77777777" w:rsidR="003832E7" w:rsidRDefault="003832E7" w:rsidP="002F1A74">
            <w:pPr>
              <w:rPr>
                <w:lang w:val="en-US"/>
              </w:rPr>
            </w:pPr>
            <w:r>
              <w:rPr>
                <w:lang w:val="en-US"/>
              </w:rPr>
              <w:t>67%</w:t>
            </w:r>
          </w:p>
        </w:tc>
        <w:tc>
          <w:tcPr>
            <w:tcW w:w="1770" w:type="dxa"/>
          </w:tcPr>
          <w:p w14:paraId="69A8F120" w14:textId="77777777" w:rsidR="003832E7" w:rsidRPr="008F38C9" w:rsidRDefault="003832E7" w:rsidP="002F1A74">
            <w:pPr>
              <w:rPr>
                <w:lang w:val="en-US"/>
              </w:rPr>
            </w:pPr>
            <w:r>
              <w:rPr>
                <w:lang w:val="en-US"/>
              </w:rPr>
              <w:t>100% of which 20% GD</w:t>
            </w:r>
          </w:p>
        </w:tc>
        <w:tc>
          <w:tcPr>
            <w:tcW w:w="1820" w:type="dxa"/>
          </w:tcPr>
          <w:p w14:paraId="11374B91" w14:textId="77777777" w:rsidR="003832E7" w:rsidRPr="008F38C9" w:rsidRDefault="003832E7" w:rsidP="002F1A74">
            <w:pPr>
              <w:rPr>
                <w:lang w:val="en-US"/>
              </w:rPr>
            </w:pPr>
            <w:r>
              <w:rPr>
                <w:lang w:val="en-US"/>
              </w:rPr>
              <w:t>100% of which 20% GD</w:t>
            </w:r>
          </w:p>
        </w:tc>
        <w:tc>
          <w:tcPr>
            <w:tcW w:w="1804" w:type="dxa"/>
          </w:tcPr>
          <w:p w14:paraId="115AC595" w14:textId="77777777" w:rsidR="003832E7" w:rsidRPr="008F38C9" w:rsidRDefault="003832E7" w:rsidP="002F1A74">
            <w:pPr>
              <w:rPr>
                <w:lang w:val="en-US"/>
              </w:rPr>
            </w:pPr>
            <w:r>
              <w:rPr>
                <w:lang w:val="en-US"/>
              </w:rPr>
              <w:t>80%</w:t>
            </w:r>
          </w:p>
        </w:tc>
        <w:tc>
          <w:tcPr>
            <w:tcW w:w="659" w:type="dxa"/>
          </w:tcPr>
          <w:p w14:paraId="625A98AE" w14:textId="77777777" w:rsidR="003832E7" w:rsidRDefault="003832E7" w:rsidP="002F1A74">
            <w:pPr>
              <w:rPr>
                <w:lang w:val="en-US"/>
              </w:rPr>
            </w:pPr>
            <w:r>
              <w:rPr>
                <w:lang w:val="en-US"/>
              </w:rPr>
              <w:t>66% ARE</w:t>
            </w:r>
          </w:p>
          <w:p w14:paraId="48A023DA" w14:textId="77777777" w:rsidR="003832E7" w:rsidRDefault="003832E7" w:rsidP="002F1A74">
            <w:pPr>
              <w:rPr>
                <w:lang w:val="en-US"/>
              </w:rPr>
            </w:pPr>
            <w:r>
              <w:rPr>
                <w:lang w:val="en-US"/>
              </w:rPr>
              <w:t>10%</w:t>
            </w:r>
          </w:p>
          <w:p w14:paraId="428C3777" w14:textId="77777777" w:rsidR="003832E7" w:rsidRPr="008F38C9" w:rsidRDefault="003832E7" w:rsidP="002F1A74">
            <w:pPr>
              <w:rPr>
                <w:lang w:val="en-US"/>
              </w:rPr>
            </w:pPr>
            <w:r>
              <w:rPr>
                <w:lang w:val="en-US"/>
              </w:rPr>
              <w:t>GD</w:t>
            </w:r>
          </w:p>
        </w:tc>
        <w:tc>
          <w:tcPr>
            <w:tcW w:w="659" w:type="dxa"/>
          </w:tcPr>
          <w:p w14:paraId="18389ED5" w14:textId="77777777" w:rsidR="003832E7" w:rsidRDefault="003832E7" w:rsidP="002F1A74">
            <w:pPr>
              <w:rPr>
                <w:lang w:val="en-US"/>
              </w:rPr>
            </w:pPr>
            <w:r>
              <w:rPr>
                <w:lang w:val="en-US"/>
              </w:rPr>
              <w:t>72%</w:t>
            </w:r>
          </w:p>
          <w:p w14:paraId="4F32199C" w14:textId="77777777" w:rsidR="003832E7" w:rsidRDefault="003832E7" w:rsidP="002F1A74">
            <w:pPr>
              <w:rPr>
                <w:lang w:val="en-US"/>
              </w:rPr>
            </w:pPr>
            <w:r>
              <w:rPr>
                <w:lang w:val="en-US"/>
              </w:rPr>
              <w:t>ARE</w:t>
            </w:r>
          </w:p>
          <w:p w14:paraId="500D5368" w14:textId="77777777" w:rsidR="003832E7" w:rsidRDefault="003832E7" w:rsidP="002F1A74">
            <w:pPr>
              <w:rPr>
                <w:lang w:val="en-US"/>
              </w:rPr>
            </w:pPr>
            <w:r>
              <w:rPr>
                <w:lang w:val="en-US"/>
              </w:rPr>
              <w:t>10%</w:t>
            </w:r>
          </w:p>
          <w:p w14:paraId="2A459F8A" w14:textId="77777777" w:rsidR="003832E7" w:rsidRPr="008F38C9" w:rsidRDefault="003832E7" w:rsidP="002F1A74">
            <w:pPr>
              <w:rPr>
                <w:lang w:val="en-US"/>
              </w:rPr>
            </w:pPr>
            <w:r>
              <w:rPr>
                <w:lang w:val="en-US"/>
              </w:rPr>
              <w:t>GD</w:t>
            </w:r>
          </w:p>
        </w:tc>
        <w:tc>
          <w:tcPr>
            <w:tcW w:w="659" w:type="dxa"/>
          </w:tcPr>
          <w:p w14:paraId="4C06340B" w14:textId="77777777" w:rsidR="003832E7" w:rsidRDefault="003832E7" w:rsidP="002F1A74">
            <w:pPr>
              <w:rPr>
                <w:lang w:val="en-US"/>
              </w:rPr>
            </w:pPr>
            <w:r>
              <w:rPr>
                <w:lang w:val="en-US"/>
              </w:rPr>
              <w:t>52% ARE</w:t>
            </w:r>
          </w:p>
          <w:p w14:paraId="25076BB4" w14:textId="77777777" w:rsidR="003832E7" w:rsidRDefault="003832E7" w:rsidP="002F1A74">
            <w:pPr>
              <w:rPr>
                <w:lang w:val="en-US"/>
              </w:rPr>
            </w:pPr>
            <w:r>
              <w:rPr>
                <w:lang w:val="en-US"/>
              </w:rPr>
              <w:t>3%</w:t>
            </w:r>
          </w:p>
          <w:p w14:paraId="28BBACD6" w14:textId="77777777" w:rsidR="003832E7" w:rsidRPr="008F38C9" w:rsidRDefault="003832E7" w:rsidP="002F1A74">
            <w:pPr>
              <w:rPr>
                <w:lang w:val="en-US"/>
              </w:rPr>
            </w:pPr>
            <w:r>
              <w:rPr>
                <w:lang w:val="en-US"/>
              </w:rPr>
              <w:t>GD</w:t>
            </w:r>
          </w:p>
        </w:tc>
      </w:tr>
      <w:tr w:rsidR="003832E7" w14:paraId="2996A890" w14:textId="77777777" w:rsidTr="002F1A74">
        <w:trPr>
          <w:trHeight w:val="653"/>
        </w:trPr>
        <w:tc>
          <w:tcPr>
            <w:tcW w:w="1196" w:type="dxa"/>
          </w:tcPr>
          <w:p w14:paraId="01004413" w14:textId="77777777" w:rsidR="003832E7" w:rsidRDefault="003832E7" w:rsidP="002F1A74">
            <w:pPr>
              <w:rPr>
                <w:lang w:val="en-US"/>
              </w:rPr>
            </w:pPr>
            <w:r>
              <w:rPr>
                <w:lang w:val="en-US"/>
              </w:rPr>
              <w:t>National 2023/2024</w:t>
            </w:r>
          </w:p>
        </w:tc>
        <w:tc>
          <w:tcPr>
            <w:tcW w:w="1765" w:type="dxa"/>
          </w:tcPr>
          <w:p w14:paraId="02404028" w14:textId="77777777" w:rsidR="003832E7" w:rsidRDefault="003832E7" w:rsidP="002F1A74">
            <w:pPr>
              <w:rPr>
                <w:lang w:val="en-US"/>
              </w:rPr>
            </w:pPr>
            <w:r>
              <w:rPr>
                <w:lang w:val="en-US"/>
              </w:rPr>
              <w:t>68%</w:t>
            </w:r>
          </w:p>
        </w:tc>
        <w:tc>
          <w:tcPr>
            <w:tcW w:w="1874" w:type="dxa"/>
          </w:tcPr>
          <w:p w14:paraId="75E9FB4C" w14:textId="77777777" w:rsidR="003832E7" w:rsidRDefault="003832E7" w:rsidP="002F1A74">
            <w:pPr>
              <w:rPr>
                <w:lang w:val="en-US"/>
              </w:rPr>
            </w:pPr>
            <w:r>
              <w:rPr>
                <w:lang w:val="en-US"/>
              </w:rPr>
              <w:t>80%</w:t>
            </w:r>
          </w:p>
        </w:tc>
        <w:tc>
          <w:tcPr>
            <w:tcW w:w="1879" w:type="dxa"/>
          </w:tcPr>
          <w:p w14:paraId="2C5A83DD" w14:textId="77777777" w:rsidR="003832E7" w:rsidRDefault="003832E7" w:rsidP="002F1A74">
            <w:pPr>
              <w:rPr>
                <w:lang w:val="en-US"/>
              </w:rPr>
            </w:pPr>
            <w:r>
              <w:rPr>
                <w:lang w:val="en-US"/>
              </w:rPr>
              <w:t>N/A</w:t>
            </w:r>
          </w:p>
        </w:tc>
        <w:tc>
          <w:tcPr>
            <w:tcW w:w="1642" w:type="dxa"/>
          </w:tcPr>
          <w:p w14:paraId="27817A25" w14:textId="77777777" w:rsidR="003832E7" w:rsidRDefault="003832E7" w:rsidP="002F1A74">
            <w:pPr>
              <w:rPr>
                <w:lang w:val="en-US"/>
              </w:rPr>
            </w:pPr>
            <w:r>
              <w:rPr>
                <w:lang w:val="en-US"/>
              </w:rPr>
              <w:t>34%</w:t>
            </w:r>
          </w:p>
        </w:tc>
        <w:tc>
          <w:tcPr>
            <w:tcW w:w="1770" w:type="dxa"/>
          </w:tcPr>
          <w:p w14:paraId="2D37B482" w14:textId="77777777" w:rsidR="003832E7" w:rsidRDefault="003832E7" w:rsidP="002F1A74">
            <w:pPr>
              <w:rPr>
                <w:lang w:val="en-US"/>
              </w:rPr>
            </w:pPr>
            <w:r>
              <w:rPr>
                <w:lang w:val="en-US"/>
              </w:rPr>
              <w:t>73% ARE / 24% GD</w:t>
            </w:r>
          </w:p>
        </w:tc>
        <w:tc>
          <w:tcPr>
            <w:tcW w:w="1820" w:type="dxa"/>
          </w:tcPr>
          <w:p w14:paraId="4D14BB9D" w14:textId="77777777" w:rsidR="003832E7" w:rsidRDefault="003832E7" w:rsidP="002F1A74">
            <w:pPr>
              <w:rPr>
                <w:lang w:val="en-US"/>
              </w:rPr>
            </w:pPr>
            <w:r>
              <w:rPr>
                <w:lang w:val="en-US"/>
              </w:rPr>
              <w:t>74% ARE / 28% GD</w:t>
            </w:r>
          </w:p>
        </w:tc>
        <w:tc>
          <w:tcPr>
            <w:tcW w:w="1804" w:type="dxa"/>
          </w:tcPr>
          <w:p w14:paraId="2F6E4E74" w14:textId="77777777" w:rsidR="003832E7" w:rsidRDefault="003832E7" w:rsidP="002F1A74">
            <w:pPr>
              <w:rPr>
                <w:lang w:val="en-US"/>
              </w:rPr>
            </w:pPr>
            <w:r>
              <w:rPr>
                <w:lang w:val="en-US"/>
              </w:rPr>
              <w:t>72% ARE</w:t>
            </w:r>
          </w:p>
        </w:tc>
        <w:tc>
          <w:tcPr>
            <w:tcW w:w="659" w:type="dxa"/>
            <w:shd w:val="clear" w:color="auto" w:fill="000000" w:themeFill="text1"/>
          </w:tcPr>
          <w:p w14:paraId="35C47881" w14:textId="77777777" w:rsidR="003832E7" w:rsidRDefault="003832E7" w:rsidP="002F1A74">
            <w:pPr>
              <w:rPr>
                <w:lang w:val="en-US"/>
              </w:rPr>
            </w:pPr>
          </w:p>
        </w:tc>
        <w:tc>
          <w:tcPr>
            <w:tcW w:w="659" w:type="dxa"/>
            <w:shd w:val="clear" w:color="auto" w:fill="000000" w:themeFill="text1"/>
          </w:tcPr>
          <w:p w14:paraId="4D4FC7D3" w14:textId="77777777" w:rsidR="003832E7" w:rsidRDefault="003832E7" w:rsidP="002F1A74">
            <w:pPr>
              <w:rPr>
                <w:lang w:val="en-US"/>
              </w:rPr>
            </w:pPr>
          </w:p>
        </w:tc>
        <w:tc>
          <w:tcPr>
            <w:tcW w:w="659" w:type="dxa"/>
            <w:shd w:val="clear" w:color="auto" w:fill="000000" w:themeFill="text1"/>
          </w:tcPr>
          <w:p w14:paraId="08B1D720" w14:textId="77777777" w:rsidR="003832E7" w:rsidRDefault="003832E7" w:rsidP="002F1A74">
            <w:pPr>
              <w:rPr>
                <w:lang w:val="en-US"/>
              </w:rPr>
            </w:pPr>
          </w:p>
        </w:tc>
      </w:tr>
    </w:tbl>
    <w:p w14:paraId="2A7D5564" w14:textId="4488FDE9" w:rsidR="00E66558" w:rsidRDefault="00E66558"/>
    <w:p w14:paraId="3CFA8001" w14:textId="77777777" w:rsidR="003832E7" w:rsidRDefault="003832E7" w:rsidP="003832E7">
      <w:pPr>
        <w:rPr>
          <w:u w:val="single"/>
          <w:lang w:val="en-US"/>
        </w:rPr>
      </w:pPr>
      <w:r>
        <w:rPr>
          <w:u w:val="single"/>
          <w:lang w:val="en-US"/>
        </w:rPr>
        <w:lastRenderedPageBreak/>
        <w:t>Attendance Data</w:t>
      </w:r>
    </w:p>
    <w:p w14:paraId="0FCA4AE7" w14:textId="46727015" w:rsidR="003832E7" w:rsidRDefault="009545B6" w:rsidP="003832E7">
      <w:pPr>
        <w:rPr>
          <w:rFonts w:cs="Arial"/>
          <w:u w:val="single"/>
          <w:lang w:val="en-US"/>
        </w:rPr>
      </w:pPr>
      <w:r>
        <w:rPr>
          <w:rFonts w:cs="Arial"/>
          <w:u w:val="single"/>
          <w:lang w:val="en-US"/>
        </w:rPr>
        <w:t>2023/2024</w:t>
      </w:r>
    </w:p>
    <w:p w14:paraId="2F42B071" w14:textId="51E32241" w:rsidR="009545B6" w:rsidRDefault="009545B6" w:rsidP="003832E7">
      <w:pPr>
        <w:rPr>
          <w:rFonts w:cs="Arial"/>
          <w:u w:val="single"/>
          <w:lang w:val="en-US"/>
        </w:rPr>
      </w:pPr>
      <w:r w:rsidRPr="009545B6">
        <w:rPr>
          <w:rFonts w:cs="Arial"/>
          <w:u w:val="single"/>
          <w:lang w:val="en-US"/>
        </w:rPr>
        <w:drawing>
          <wp:inline distT="0" distB="0" distL="0" distR="0" wp14:anchorId="677A195C" wp14:editId="1A73132E">
            <wp:extent cx="9777730" cy="18205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777730" cy="1820545"/>
                    </a:xfrm>
                    <a:prstGeom prst="rect">
                      <a:avLst/>
                    </a:prstGeom>
                  </pic:spPr>
                </pic:pic>
              </a:graphicData>
            </a:graphic>
          </wp:inline>
        </w:drawing>
      </w:r>
    </w:p>
    <w:p w14:paraId="11A5FBA5" w14:textId="3A4BBC27" w:rsidR="009545B6" w:rsidRDefault="009545B6" w:rsidP="003832E7">
      <w:pPr>
        <w:rPr>
          <w:rFonts w:cs="Arial"/>
          <w:u w:val="single"/>
          <w:lang w:val="en-US"/>
        </w:rPr>
      </w:pPr>
      <w:r>
        <w:rPr>
          <w:rFonts w:cs="Arial"/>
          <w:u w:val="single"/>
          <w:lang w:val="en-US"/>
        </w:rPr>
        <w:t>2022/2023</w:t>
      </w:r>
    </w:p>
    <w:p w14:paraId="067DFD90" w14:textId="02460D84" w:rsidR="009545B6" w:rsidRPr="00EA6C4C" w:rsidRDefault="009545B6" w:rsidP="003832E7">
      <w:pPr>
        <w:rPr>
          <w:rFonts w:cs="Arial"/>
          <w:u w:val="single"/>
          <w:lang w:val="en-US"/>
        </w:rPr>
      </w:pPr>
      <w:r w:rsidRPr="009545B6">
        <w:rPr>
          <w:rFonts w:cs="Arial"/>
          <w:u w:val="single"/>
          <w:lang w:val="en-US"/>
        </w:rPr>
        <w:drawing>
          <wp:inline distT="0" distB="0" distL="0" distR="0" wp14:anchorId="54813ADF" wp14:editId="2727746A">
            <wp:extent cx="9777730" cy="19780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777730" cy="1978025"/>
                    </a:xfrm>
                    <a:prstGeom prst="rect">
                      <a:avLst/>
                    </a:prstGeom>
                  </pic:spPr>
                </pic:pic>
              </a:graphicData>
            </a:graphic>
          </wp:inline>
        </w:drawing>
      </w:r>
      <w:bookmarkStart w:id="17" w:name="_GoBack"/>
      <w:bookmarkEnd w:id="17"/>
    </w:p>
    <w:p w14:paraId="3AC73728" w14:textId="77777777" w:rsidR="00EA6C4C" w:rsidRPr="00EA6C4C" w:rsidRDefault="00EA6C4C" w:rsidP="00EA6C4C">
      <w:pPr>
        <w:pStyle w:val="NormalWeb"/>
        <w:rPr>
          <w:rFonts w:ascii="Arial" w:hAnsi="Arial" w:cs="Arial"/>
          <w:color w:val="000000"/>
          <w:u w:val="single"/>
        </w:rPr>
      </w:pPr>
      <w:r w:rsidRPr="00EA6C4C">
        <w:rPr>
          <w:rFonts w:ascii="Arial" w:hAnsi="Arial" w:cs="Arial"/>
          <w:color w:val="000000"/>
          <w:u w:val="single"/>
        </w:rPr>
        <w:t xml:space="preserve">Educational Visits </w:t>
      </w:r>
    </w:p>
    <w:p w14:paraId="3965BD2A" w14:textId="77777777" w:rsidR="00EA6C4C" w:rsidRPr="00EA6C4C" w:rsidRDefault="00EA6C4C" w:rsidP="00EA6C4C">
      <w:pPr>
        <w:pStyle w:val="NormalWeb"/>
        <w:rPr>
          <w:rFonts w:ascii="Arial" w:hAnsi="Arial" w:cs="Arial"/>
          <w:color w:val="000000"/>
          <w:szCs w:val="27"/>
        </w:rPr>
      </w:pPr>
      <w:r w:rsidRPr="00EA6C4C">
        <w:rPr>
          <w:rFonts w:ascii="Arial" w:hAnsi="Arial" w:cs="Arial"/>
          <w:color w:val="000000"/>
          <w:szCs w:val="27"/>
        </w:rPr>
        <w:t xml:space="preserve">Every DSG pupil was able to attend educational visits free of charge and all were offered a payment plan for residential visits, of which 100% attended. </w:t>
      </w:r>
    </w:p>
    <w:p w14:paraId="0FD3FE11" w14:textId="77777777" w:rsidR="00EA6C4C" w:rsidRDefault="00EA6C4C" w:rsidP="00EA6C4C">
      <w:pPr>
        <w:pStyle w:val="NormalWeb"/>
        <w:rPr>
          <w:rFonts w:ascii="Arial" w:hAnsi="Arial" w:cs="Arial"/>
          <w:color w:val="000000"/>
          <w:szCs w:val="27"/>
        </w:rPr>
      </w:pPr>
      <w:r w:rsidRPr="00EA6C4C">
        <w:rPr>
          <w:rFonts w:ascii="Arial" w:hAnsi="Arial" w:cs="Arial"/>
          <w:color w:val="000000"/>
          <w:szCs w:val="27"/>
          <w:u w:val="single"/>
        </w:rPr>
        <w:lastRenderedPageBreak/>
        <w:t>Extra-curricular clubs</w:t>
      </w:r>
      <w:r w:rsidRPr="00EA6C4C">
        <w:rPr>
          <w:rFonts w:ascii="Arial" w:hAnsi="Arial" w:cs="Arial"/>
          <w:color w:val="000000"/>
          <w:szCs w:val="27"/>
        </w:rPr>
        <w:t xml:space="preserve"> </w:t>
      </w:r>
    </w:p>
    <w:p w14:paraId="13ED593C" w14:textId="77777777" w:rsidR="00EA6C4C" w:rsidRDefault="00EA6C4C" w:rsidP="00EA6C4C">
      <w:pPr>
        <w:pStyle w:val="NormalWeb"/>
        <w:rPr>
          <w:rFonts w:ascii="Arial" w:hAnsi="Arial" w:cs="Arial"/>
          <w:color w:val="000000"/>
          <w:szCs w:val="27"/>
        </w:rPr>
      </w:pPr>
      <w:r w:rsidRPr="00EA6C4C">
        <w:rPr>
          <w:rFonts w:ascii="Arial" w:hAnsi="Arial" w:cs="Arial"/>
          <w:color w:val="000000"/>
          <w:szCs w:val="27"/>
        </w:rPr>
        <w:t>A comprehensive menu of internal and external clubs is in place with priority given to DSG pupils for internal clubs, and school covering the cost of a term’s worth of external club attendance. All children are offered the opportunity to attend a free lunchtime and</w:t>
      </w:r>
      <w:r>
        <w:rPr>
          <w:rFonts w:ascii="Arial" w:hAnsi="Arial" w:cs="Arial"/>
          <w:color w:val="000000"/>
          <w:szCs w:val="27"/>
        </w:rPr>
        <w:t xml:space="preserve"> </w:t>
      </w:r>
      <w:r w:rsidRPr="00EA6C4C">
        <w:rPr>
          <w:rFonts w:ascii="Arial" w:hAnsi="Arial" w:cs="Arial"/>
          <w:color w:val="000000"/>
          <w:szCs w:val="27"/>
        </w:rPr>
        <w:t xml:space="preserve">all children were offered the opportunity of one term of a free (charged) after school club. All PP pupils attended an internally ran club. </w:t>
      </w:r>
    </w:p>
    <w:p w14:paraId="62F1112E" w14:textId="77777777" w:rsidR="00EA6C4C" w:rsidRDefault="00EA6C4C" w:rsidP="00EA6C4C">
      <w:pPr>
        <w:pStyle w:val="NormalWeb"/>
        <w:rPr>
          <w:rFonts w:ascii="Arial" w:hAnsi="Arial" w:cs="Arial"/>
          <w:color w:val="000000"/>
          <w:szCs w:val="27"/>
        </w:rPr>
      </w:pPr>
      <w:r w:rsidRPr="00EA6C4C">
        <w:rPr>
          <w:rFonts w:ascii="Arial" w:hAnsi="Arial" w:cs="Arial"/>
          <w:color w:val="000000"/>
          <w:szCs w:val="27"/>
          <w:u w:val="single"/>
        </w:rPr>
        <w:t>Behaviour</w:t>
      </w:r>
      <w:r w:rsidRPr="00EA6C4C">
        <w:rPr>
          <w:rFonts w:ascii="Arial" w:hAnsi="Arial" w:cs="Arial"/>
          <w:color w:val="000000"/>
          <w:szCs w:val="27"/>
        </w:rPr>
        <w:t xml:space="preserve"> </w:t>
      </w:r>
    </w:p>
    <w:p w14:paraId="70AD2F26" w14:textId="5FF8B2D2" w:rsidR="00EA6C4C" w:rsidRPr="00EA6C4C" w:rsidRDefault="00EA6C4C" w:rsidP="00EA6C4C">
      <w:pPr>
        <w:pStyle w:val="NormalWeb"/>
        <w:rPr>
          <w:rFonts w:ascii="Arial" w:hAnsi="Arial" w:cs="Arial"/>
          <w:color w:val="000000"/>
          <w:szCs w:val="27"/>
        </w:rPr>
      </w:pPr>
      <w:r w:rsidRPr="00EA6C4C">
        <w:rPr>
          <w:rFonts w:ascii="Arial" w:hAnsi="Arial" w:cs="Arial"/>
          <w:color w:val="000000"/>
          <w:szCs w:val="27"/>
        </w:rPr>
        <w:t>27.59% of pupil premium children had a behaviour incident logged as part of school’s internal behavioural process.</w:t>
      </w:r>
    </w:p>
    <w:p w14:paraId="5681BD71" w14:textId="77777777" w:rsidR="003832E7" w:rsidRDefault="003832E7"/>
    <w:sectPr w:rsidR="003832E7" w:rsidSect="003832E7">
      <w:headerReference w:type="default" r:id="rId12"/>
      <w:footerReference w:type="default" r:id="rId13"/>
      <w:pgSz w:w="16838" w:h="11906" w:orient="landscape"/>
      <w:pgMar w:top="720" w:right="720" w:bottom="720"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91B99" w14:textId="77777777" w:rsidR="001B4C3D" w:rsidRDefault="001B4C3D">
      <w:pPr>
        <w:spacing w:after="0" w:line="240" w:lineRule="auto"/>
      </w:pPr>
      <w:r>
        <w:separator/>
      </w:r>
    </w:p>
  </w:endnote>
  <w:endnote w:type="continuationSeparator" w:id="0">
    <w:p w14:paraId="183EE776" w14:textId="77777777" w:rsidR="001B4C3D" w:rsidRDefault="001B4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1680CF4A" w:rsidR="001B4C3D" w:rsidRDefault="001B4C3D">
    <w:pPr>
      <w:pStyle w:val="Footer"/>
      <w:ind w:firstLine="4513"/>
    </w:pPr>
    <w:r>
      <w:fldChar w:fldCharType="begin"/>
    </w:r>
    <w:r>
      <w:instrText xml:space="preserve"> PAGE </w:instrText>
    </w:r>
    <w:r>
      <w:fldChar w:fldCharType="separate"/>
    </w:r>
    <w:r w:rsidR="009545B6">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99D76" w14:textId="77777777" w:rsidR="001B4C3D" w:rsidRDefault="001B4C3D">
      <w:pPr>
        <w:spacing w:after="0" w:line="240" w:lineRule="auto"/>
      </w:pPr>
      <w:r>
        <w:separator/>
      </w:r>
    </w:p>
  </w:footnote>
  <w:footnote w:type="continuationSeparator" w:id="0">
    <w:p w14:paraId="5021A7ED" w14:textId="77777777" w:rsidR="001B4C3D" w:rsidRDefault="001B4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1B4C3D" w:rsidRDefault="001B4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7DC"/>
    <w:multiLevelType w:val="hybridMultilevel"/>
    <w:tmpl w:val="AAF87A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22540E"/>
    <w:multiLevelType w:val="hybridMultilevel"/>
    <w:tmpl w:val="C6ECF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5D901A"/>
    <w:multiLevelType w:val="hybridMultilevel"/>
    <w:tmpl w:val="DFA42DC2"/>
    <w:lvl w:ilvl="0" w:tplc="DBF49F24">
      <w:start w:val="1"/>
      <w:numFmt w:val="bullet"/>
      <w:lvlText w:val=""/>
      <w:lvlJc w:val="left"/>
      <w:pPr>
        <w:ind w:left="720" w:hanging="360"/>
      </w:pPr>
      <w:rPr>
        <w:rFonts w:ascii="Symbol" w:hAnsi="Symbol" w:hint="default"/>
      </w:rPr>
    </w:lvl>
    <w:lvl w:ilvl="1" w:tplc="C3CCFD4A">
      <w:start w:val="1"/>
      <w:numFmt w:val="bullet"/>
      <w:lvlText w:val="o"/>
      <w:lvlJc w:val="left"/>
      <w:pPr>
        <w:ind w:left="1440" w:hanging="360"/>
      </w:pPr>
      <w:rPr>
        <w:rFonts w:ascii="Courier New" w:hAnsi="Courier New" w:hint="default"/>
      </w:rPr>
    </w:lvl>
    <w:lvl w:ilvl="2" w:tplc="CD860850">
      <w:start w:val="1"/>
      <w:numFmt w:val="bullet"/>
      <w:lvlText w:val=""/>
      <w:lvlJc w:val="left"/>
      <w:pPr>
        <w:ind w:left="2160" w:hanging="360"/>
      </w:pPr>
      <w:rPr>
        <w:rFonts w:ascii="Wingdings" w:hAnsi="Wingdings" w:hint="default"/>
      </w:rPr>
    </w:lvl>
    <w:lvl w:ilvl="3" w:tplc="29C4A898">
      <w:start w:val="1"/>
      <w:numFmt w:val="bullet"/>
      <w:lvlText w:val=""/>
      <w:lvlJc w:val="left"/>
      <w:pPr>
        <w:ind w:left="2880" w:hanging="360"/>
      </w:pPr>
      <w:rPr>
        <w:rFonts w:ascii="Symbol" w:hAnsi="Symbol" w:hint="default"/>
      </w:rPr>
    </w:lvl>
    <w:lvl w:ilvl="4" w:tplc="56BCDAA0">
      <w:start w:val="1"/>
      <w:numFmt w:val="bullet"/>
      <w:lvlText w:val="o"/>
      <w:lvlJc w:val="left"/>
      <w:pPr>
        <w:ind w:left="3600" w:hanging="360"/>
      </w:pPr>
      <w:rPr>
        <w:rFonts w:ascii="Courier New" w:hAnsi="Courier New" w:hint="default"/>
      </w:rPr>
    </w:lvl>
    <w:lvl w:ilvl="5" w:tplc="EEAAB496">
      <w:start w:val="1"/>
      <w:numFmt w:val="bullet"/>
      <w:lvlText w:val=""/>
      <w:lvlJc w:val="left"/>
      <w:pPr>
        <w:ind w:left="4320" w:hanging="360"/>
      </w:pPr>
      <w:rPr>
        <w:rFonts w:ascii="Wingdings" w:hAnsi="Wingdings" w:hint="default"/>
      </w:rPr>
    </w:lvl>
    <w:lvl w:ilvl="6" w:tplc="50D6A85A">
      <w:start w:val="1"/>
      <w:numFmt w:val="bullet"/>
      <w:lvlText w:val=""/>
      <w:lvlJc w:val="left"/>
      <w:pPr>
        <w:ind w:left="5040" w:hanging="360"/>
      </w:pPr>
      <w:rPr>
        <w:rFonts w:ascii="Symbol" w:hAnsi="Symbol" w:hint="default"/>
      </w:rPr>
    </w:lvl>
    <w:lvl w:ilvl="7" w:tplc="132A849A">
      <w:start w:val="1"/>
      <w:numFmt w:val="bullet"/>
      <w:lvlText w:val="o"/>
      <w:lvlJc w:val="left"/>
      <w:pPr>
        <w:ind w:left="5760" w:hanging="360"/>
      </w:pPr>
      <w:rPr>
        <w:rFonts w:ascii="Courier New" w:hAnsi="Courier New" w:hint="default"/>
      </w:rPr>
    </w:lvl>
    <w:lvl w:ilvl="8" w:tplc="B0B0F42E">
      <w:start w:val="1"/>
      <w:numFmt w:val="bullet"/>
      <w:lvlText w:val=""/>
      <w:lvlJc w:val="left"/>
      <w:pPr>
        <w:ind w:left="6480" w:hanging="360"/>
      </w:pPr>
      <w:rPr>
        <w:rFonts w:ascii="Wingdings" w:hAnsi="Wingdings" w:hint="default"/>
      </w:rPr>
    </w:lvl>
  </w:abstractNum>
  <w:abstractNum w:abstractNumId="3" w15:restartNumberingAfterBreak="0">
    <w:nsid w:val="0AC556C2"/>
    <w:multiLevelType w:val="hybridMultilevel"/>
    <w:tmpl w:val="6FAA70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8E49AC"/>
    <w:multiLevelType w:val="hybridMultilevel"/>
    <w:tmpl w:val="4F06153A"/>
    <w:lvl w:ilvl="0" w:tplc="B96E2D8A">
      <w:start w:val="1"/>
      <w:numFmt w:val="bullet"/>
      <w:lvlText w:val=""/>
      <w:lvlJc w:val="left"/>
      <w:pPr>
        <w:ind w:left="720" w:hanging="360"/>
      </w:pPr>
      <w:rPr>
        <w:rFonts w:ascii="Symbol" w:hAnsi="Symbol" w:hint="default"/>
      </w:rPr>
    </w:lvl>
    <w:lvl w:ilvl="1" w:tplc="63BECFC4">
      <w:start w:val="1"/>
      <w:numFmt w:val="bullet"/>
      <w:lvlText w:val="o"/>
      <w:lvlJc w:val="left"/>
      <w:pPr>
        <w:ind w:left="1440" w:hanging="360"/>
      </w:pPr>
      <w:rPr>
        <w:rFonts w:ascii="Courier New" w:hAnsi="Courier New" w:hint="default"/>
      </w:rPr>
    </w:lvl>
    <w:lvl w:ilvl="2" w:tplc="0B10B264">
      <w:start w:val="1"/>
      <w:numFmt w:val="bullet"/>
      <w:lvlText w:val=""/>
      <w:lvlJc w:val="left"/>
      <w:pPr>
        <w:ind w:left="2160" w:hanging="360"/>
      </w:pPr>
      <w:rPr>
        <w:rFonts w:ascii="Wingdings" w:hAnsi="Wingdings" w:hint="default"/>
      </w:rPr>
    </w:lvl>
    <w:lvl w:ilvl="3" w:tplc="1C14B312">
      <w:start w:val="1"/>
      <w:numFmt w:val="bullet"/>
      <w:lvlText w:val=""/>
      <w:lvlJc w:val="left"/>
      <w:pPr>
        <w:ind w:left="2880" w:hanging="360"/>
      </w:pPr>
      <w:rPr>
        <w:rFonts w:ascii="Symbol" w:hAnsi="Symbol" w:hint="default"/>
      </w:rPr>
    </w:lvl>
    <w:lvl w:ilvl="4" w:tplc="4CEE93FA">
      <w:start w:val="1"/>
      <w:numFmt w:val="bullet"/>
      <w:lvlText w:val="o"/>
      <w:lvlJc w:val="left"/>
      <w:pPr>
        <w:ind w:left="3600" w:hanging="360"/>
      </w:pPr>
      <w:rPr>
        <w:rFonts w:ascii="Courier New" w:hAnsi="Courier New" w:hint="default"/>
      </w:rPr>
    </w:lvl>
    <w:lvl w:ilvl="5" w:tplc="55364882">
      <w:start w:val="1"/>
      <w:numFmt w:val="bullet"/>
      <w:lvlText w:val=""/>
      <w:lvlJc w:val="left"/>
      <w:pPr>
        <w:ind w:left="4320" w:hanging="360"/>
      </w:pPr>
      <w:rPr>
        <w:rFonts w:ascii="Wingdings" w:hAnsi="Wingdings" w:hint="default"/>
      </w:rPr>
    </w:lvl>
    <w:lvl w:ilvl="6" w:tplc="00D2F854">
      <w:start w:val="1"/>
      <w:numFmt w:val="bullet"/>
      <w:lvlText w:val=""/>
      <w:lvlJc w:val="left"/>
      <w:pPr>
        <w:ind w:left="5040" w:hanging="360"/>
      </w:pPr>
      <w:rPr>
        <w:rFonts w:ascii="Symbol" w:hAnsi="Symbol" w:hint="default"/>
      </w:rPr>
    </w:lvl>
    <w:lvl w:ilvl="7" w:tplc="516AC67C">
      <w:start w:val="1"/>
      <w:numFmt w:val="bullet"/>
      <w:lvlText w:val="o"/>
      <w:lvlJc w:val="left"/>
      <w:pPr>
        <w:ind w:left="5760" w:hanging="360"/>
      </w:pPr>
      <w:rPr>
        <w:rFonts w:ascii="Courier New" w:hAnsi="Courier New" w:hint="default"/>
      </w:rPr>
    </w:lvl>
    <w:lvl w:ilvl="8" w:tplc="0F5ED30E">
      <w:start w:val="1"/>
      <w:numFmt w:val="bullet"/>
      <w:lvlText w:val=""/>
      <w:lvlJc w:val="left"/>
      <w:pPr>
        <w:ind w:left="6480" w:hanging="360"/>
      </w:pPr>
      <w:rPr>
        <w:rFonts w:ascii="Wingdings" w:hAnsi="Wingdings" w:hint="default"/>
      </w:rPr>
    </w:lvl>
  </w:abstractNum>
  <w:abstractNum w:abstractNumId="5"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C8D08E8"/>
    <w:multiLevelType w:val="multilevel"/>
    <w:tmpl w:val="C8C25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94782A"/>
    <w:multiLevelType w:val="multilevel"/>
    <w:tmpl w:val="6DF4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0" w15:restartNumberingAfterBreak="0">
    <w:nsid w:val="24836911"/>
    <w:multiLevelType w:val="hybridMultilevel"/>
    <w:tmpl w:val="ED1E5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5E20361"/>
    <w:multiLevelType w:val="multilevel"/>
    <w:tmpl w:val="B69CF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281440A9"/>
    <w:multiLevelType w:val="hybridMultilevel"/>
    <w:tmpl w:val="98243224"/>
    <w:lvl w:ilvl="0" w:tplc="0952E9DA">
      <w:start w:val="1"/>
      <w:numFmt w:val="decimal"/>
      <w:lvlText w:val="%1."/>
      <w:lvlJc w:val="left"/>
      <w:pPr>
        <w:ind w:left="360" w:hanging="360"/>
      </w:pPr>
    </w:lvl>
    <w:lvl w:ilvl="1" w:tplc="04E40B1C">
      <w:start w:val="1"/>
      <w:numFmt w:val="lowerLetter"/>
      <w:lvlText w:val="%2."/>
      <w:lvlJc w:val="left"/>
      <w:pPr>
        <w:ind w:left="1080" w:hanging="360"/>
      </w:pPr>
    </w:lvl>
    <w:lvl w:ilvl="2" w:tplc="70305B6A">
      <w:start w:val="1"/>
      <w:numFmt w:val="lowerRoman"/>
      <w:lvlText w:val="%3."/>
      <w:lvlJc w:val="right"/>
      <w:pPr>
        <w:ind w:left="1800" w:hanging="180"/>
      </w:pPr>
    </w:lvl>
    <w:lvl w:ilvl="3" w:tplc="5C8CFC18">
      <w:start w:val="1"/>
      <w:numFmt w:val="decimal"/>
      <w:lvlText w:val="%4."/>
      <w:lvlJc w:val="left"/>
      <w:pPr>
        <w:ind w:left="2520" w:hanging="360"/>
      </w:pPr>
    </w:lvl>
    <w:lvl w:ilvl="4" w:tplc="C4907E12">
      <w:start w:val="1"/>
      <w:numFmt w:val="lowerLetter"/>
      <w:lvlText w:val="%5."/>
      <w:lvlJc w:val="left"/>
      <w:pPr>
        <w:ind w:left="3240" w:hanging="360"/>
      </w:pPr>
    </w:lvl>
    <w:lvl w:ilvl="5" w:tplc="19A426F8">
      <w:start w:val="1"/>
      <w:numFmt w:val="lowerRoman"/>
      <w:lvlText w:val="%6."/>
      <w:lvlJc w:val="right"/>
      <w:pPr>
        <w:ind w:left="3960" w:hanging="180"/>
      </w:pPr>
    </w:lvl>
    <w:lvl w:ilvl="6" w:tplc="71B0D97E">
      <w:start w:val="1"/>
      <w:numFmt w:val="decimal"/>
      <w:lvlText w:val="%7."/>
      <w:lvlJc w:val="left"/>
      <w:pPr>
        <w:ind w:left="4680" w:hanging="360"/>
      </w:pPr>
    </w:lvl>
    <w:lvl w:ilvl="7" w:tplc="57748218">
      <w:start w:val="1"/>
      <w:numFmt w:val="lowerLetter"/>
      <w:lvlText w:val="%8."/>
      <w:lvlJc w:val="left"/>
      <w:pPr>
        <w:ind w:left="5400" w:hanging="360"/>
      </w:pPr>
    </w:lvl>
    <w:lvl w:ilvl="8" w:tplc="770463CA">
      <w:start w:val="1"/>
      <w:numFmt w:val="lowerRoman"/>
      <w:lvlText w:val="%9."/>
      <w:lvlJc w:val="right"/>
      <w:pPr>
        <w:ind w:left="6120" w:hanging="180"/>
      </w:pPr>
    </w:lvl>
  </w:abstractNum>
  <w:abstractNum w:abstractNumId="1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365AFF9F"/>
    <w:multiLevelType w:val="hybridMultilevel"/>
    <w:tmpl w:val="736EA6BE"/>
    <w:lvl w:ilvl="0" w:tplc="443ADDD0">
      <w:start w:val="1"/>
      <w:numFmt w:val="decimal"/>
      <w:lvlText w:val="%1."/>
      <w:lvlJc w:val="left"/>
      <w:pPr>
        <w:ind w:left="360" w:hanging="360"/>
      </w:pPr>
    </w:lvl>
    <w:lvl w:ilvl="1" w:tplc="0722EFE6">
      <w:start w:val="1"/>
      <w:numFmt w:val="lowerLetter"/>
      <w:lvlText w:val="%2."/>
      <w:lvlJc w:val="left"/>
      <w:pPr>
        <w:ind w:left="1080" w:hanging="360"/>
      </w:pPr>
    </w:lvl>
    <w:lvl w:ilvl="2" w:tplc="E870B95E">
      <w:start w:val="1"/>
      <w:numFmt w:val="lowerRoman"/>
      <w:lvlText w:val="%3."/>
      <w:lvlJc w:val="right"/>
      <w:pPr>
        <w:ind w:left="1800" w:hanging="180"/>
      </w:pPr>
    </w:lvl>
    <w:lvl w:ilvl="3" w:tplc="F752885A">
      <w:start w:val="1"/>
      <w:numFmt w:val="decimal"/>
      <w:lvlText w:val="%4."/>
      <w:lvlJc w:val="left"/>
      <w:pPr>
        <w:ind w:left="2520" w:hanging="360"/>
      </w:pPr>
    </w:lvl>
    <w:lvl w:ilvl="4" w:tplc="601436D8">
      <w:start w:val="1"/>
      <w:numFmt w:val="lowerLetter"/>
      <w:lvlText w:val="%5."/>
      <w:lvlJc w:val="left"/>
      <w:pPr>
        <w:ind w:left="3240" w:hanging="360"/>
      </w:pPr>
    </w:lvl>
    <w:lvl w:ilvl="5" w:tplc="447807DA">
      <w:start w:val="1"/>
      <w:numFmt w:val="lowerRoman"/>
      <w:lvlText w:val="%6."/>
      <w:lvlJc w:val="right"/>
      <w:pPr>
        <w:ind w:left="3960" w:hanging="180"/>
      </w:pPr>
    </w:lvl>
    <w:lvl w:ilvl="6" w:tplc="ACACC462">
      <w:start w:val="1"/>
      <w:numFmt w:val="decimal"/>
      <w:lvlText w:val="%7."/>
      <w:lvlJc w:val="left"/>
      <w:pPr>
        <w:ind w:left="4680" w:hanging="360"/>
      </w:pPr>
    </w:lvl>
    <w:lvl w:ilvl="7" w:tplc="9C9A2AB8">
      <w:start w:val="1"/>
      <w:numFmt w:val="lowerLetter"/>
      <w:lvlText w:val="%8."/>
      <w:lvlJc w:val="left"/>
      <w:pPr>
        <w:ind w:left="5400" w:hanging="360"/>
      </w:pPr>
    </w:lvl>
    <w:lvl w:ilvl="8" w:tplc="615C59F0">
      <w:start w:val="1"/>
      <w:numFmt w:val="lowerRoman"/>
      <w:lvlText w:val="%9."/>
      <w:lvlJc w:val="right"/>
      <w:pPr>
        <w:ind w:left="6120" w:hanging="180"/>
      </w:pPr>
    </w:lvl>
  </w:abstractNum>
  <w:abstractNum w:abstractNumId="17" w15:restartNumberingAfterBreak="0">
    <w:nsid w:val="367B2E4B"/>
    <w:multiLevelType w:val="hybridMultilevel"/>
    <w:tmpl w:val="1242C13C"/>
    <w:lvl w:ilvl="0" w:tplc="BAC21940">
      <w:start w:val="1"/>
      <w:numFmt w:val="bullet"/>
      <w:lvlText w:val=""/>
      <w:lvlJc w:val="left"/>
      <w:pPr>
        <w:ind w:left="360" w:hanging="360"/>
      </w:pPr>
      <w:rPr>
        <w:rFonts w:ascii="Symbol" w:hAnsi="Symbol" w:hint="default"/>
      </w:rPr>
    </w:lvl>
    <w:lvl w:ilvl="1" w:tplc="0FBAA7F2">
      <w:start w:val="1"/>
      <w:numFmt w:val="bullet"/>
      <w:lvlText w:val="o"/>
      <w:lvlJc w:val="left"/>
      <w:pPr>
        <w:ind w:left="1080" w:hanging="360"/>
      </w:pPr>
      <w:rPr>
        <w:rFonts w:ascii="Courier New" w:hAnsi="Courier New" w:hint="default"/>
      </w:rPr>
    </w:lvl>
    <w:lvl w:ilvl="2" w:tplc="5AFCE460">
      <w:start w:val="1"/>
      <w:numFmt w:val="bullet"/>
      <w:lvlText w:val=""/>
      <w:lvlJc w:val="left"/>
      <w:pPr>
        <w:ind w:left="1800" w:hanging="360"/>
      </w:pPr>
      <w:rPr>
        <w:rFonts w:ascii="Wingdings" w:hAnsi="Wingdings" w:hint="default"/>
      </w:rPr>
    </w:lvl>
    <w:lvl w:ilvl="3" w:tplc="CFA20B5C">
      <w:start w:val="1"/>
      <w:numFmt w:val="bullet"/>
      <w:lvlText w:val=""/>
      <w:lvlJc w:val="left"/>
      <w:pPr>
        <w:ind w:left="2520" w:hanging="360"/>
      </w:pPr>
      <w:rPr>
        <w:rFonts w:ascii="Symbol" w:hAnsi="Symbol" w:hint="default"/>
      </w:rPr>
    </w:lvl>
    <w:lvl w:ilvl="4" w:tplc="29B2EDD8">
      <w:start w:val="1"/>
      <w:numFmt w:val="bullet"/>
      <w:lvlText w:val="o"/>
      <w:lvlJc w:val="left"/>
      <w:pPr>
        <w:ind w:left="3240" w:hanging="360"/>
      </w:pPr>
      <w:rPr>
        <w:rFonts w:ascii="Courier New" w:hAnsi="Courier New" w:hint="default"/>
      </w:rPr>
    </w:lvl>
    <w:lvl w:ilvl="5" w:tplc="230830D6">
      <w:start w:val="1"/>
      <w:numFmt w:val="bullet"/>
      <w:lvlText w:val=""/>
      <w:lvlJc w:val="left"/>
      <w:pPr>
        <w:ind w:left="3960" w:hanging="360"/>
      </w:pPr>
      <w:rPr>
        <w:rFonts w:ascii="Wingdings" w:hAnsi="Wingdings" w:hint="default"/>
      </w:rPr>
    </w:lvl>
    <w:lvl w:ilvl="6" w:tplc="CC88F4FA">
      <w:start w:val="1"/>
      <w:numFmt w:val="bullet"/>
      <w:lvlText w:val=""/>
      <w:lvlJc w:val="left"/>
      <w:pPr>
        <w:ind w:left="4680" w:hanging="360"/>
      </w:pPr>
      <w:rPr>
        <w:rFonts w:ascii="Symbol" w:hAnsi="Symbol" w:hint="default"/>
      </w:rPr>
    </w:lvl>
    <w:lvl w:ilvl="7" w:tplc="DD44F228">
      <w:start w:val="1"/>
      <w:numFmt w:val="bullet"/>
      <w:lvlText w:val="o"/>
      <w:lvlJc w:val="left"/>
      <w:pPr>
        <w:ind w:left="5400" w:hanging="360"/>
      </w:pPr>
      <w:rPr>
        <w:rFonts w:ascii="Courier New" w:hAnsi="Courier New" w:hint="default"/>
      </w:rPr>
    </w:lvl>
    <w:lvl w:ilvl="8" w:tplc="7BDE5AA8">
      <w:start w:val="1"/>
      <w:numFmt w:val="bullet"/>
      <w:lvlText w:val=""/>
      <w:lvlJc w:val="left"/>
      <w:pPr>
        <w:ind w:left="6120" w:hanging="360"/>
      </w:pPr>
      <w:rPr>
        <w:rFonts w:ascii="Wingdings" w:hAnsi="Wingdings" w:hint="default"/>
      </w:rPr>
    </w:lvl>
  </w:abstractNum>
  <w:abstractNum w:abstractNumId="18" w15:restartNumberingAfterBreak="0">
    <w:nsid w:val="38252A4A"/>
    <w:multiLevelType w:val="multilevel"/>
    <w:tmpl w:val="35D2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6C6D12"/>
    <w:multiLevelType w:val="multilevel"/>
    <w:tmpl w:val="0FA6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EFDB32"/>
    <w:multiLevelType w:val="hybridMultilevel"/>
    <w:tmpl w:val="3FAE5762"/>
    <w:lvl w:ilvl="0" w:tplc="C0727FDE">
      <w:start w:val="1"/>
      <w:numFmt w:val="bullet"/>
      <w:lvlText w:val="-"/>
      <w:lvlJc w:val="left"/>
      <w:pPr>
        <w:ind w:left="720" w:hanging="360"/>
      </w:pPr>
      <w:rPr>
        <w:rFonts w:ascii="Calibri" w:hAnsi="Calibri" w:hint="default"/>
      </w:rPr>
    </w:lvl>
    <w:lvl w:ilvl="1" w:tplc="E884A0C8">
      <w:start w:val="1"/>
      <w:numFmt w:val="bullet"/>
      <w:lvlText w:val="o"/>
      <w:lvlJc w:val="left"/>
      <w:pPr>
        <w:ind w:left="1440" w:hanging="360"/>
      </w:pPr>
      <w:rPr>
        <w:rFonts w:ascii="Courier New" w:hAnsi="Courier New" w:hint="default"/>
      </w:rPr>
    </w:lvl>
    <w:lvl w:ilvl="2" w:tplc="957668DA">
      <w:start w:val="1"/>
      <w:numFmt w:val="bullet"/>
      <w:lvlText w:val=""/>
      <w:lvlJc w:val="left"/>
      <w:pPr>
        <w:ind w:left="2160" w:hanging="360"/>
      </w:pPr>
      <w:rPr>
        <w:rFonts w:ascii="Wingdings" w:hAnsi="Wingdings" w:hint="default"/>
      </w:rPr>
    </w:lvl>
    <w:lvl w:ilvl="3" w:tplc="ECDC6090">
      <w:start w:val="1"/>
      <w:numFmt w:val="bullet"/>
      <w:lvlText w:val=""/>
      <w:lvlJc w:val="left"/>
      <w:pPr>
        <w:ind w:left="2880" w:hanging="360"/>
      </w:pPr>
      <w:rPr>
        <w:rFonts w:ascii="Symbol" w:hAnsi="Symbol" w:hint="default"/>
      </w:rPr>
    </w:lvl>
    <w:lvl w:ilvl="4" w:tplc="FA180DAE">
      <w:start w:val="1"/>
      <w:numFmt w:val="bullet"/>
      <w:lvlText w:val="o"/>
      <w:lvlJc w:val="left"/>
      <w:pPr>
        <w:ind w:left="3600" w:hanging="360"/>
      </w:pPr>
      <w:rPr>
        <w:rFonts w:ascii="Courier New" w:hAnsi="Courier New" w:hint="default"/>
      </w:rPr>
    </w:lvl>
    <w:lvl w:ilvl="5" w:tplc="3AE85500">
      <w:start w:val="1"/>
      <w:numFmt w:val="bullet"/>
      <w:lvlText w:val=""/>
      <w:lvlJc w:val="left"/>
      <w:pPr>
        <w:ind w:left="4320" w:hanging="360"/>
      </w:pPr>
      <w:rPr>
        <w:rFonts w:ascii="Wingdings" w:hAnsi="Wingdings" w:hint="default"/>
      </w:rPr>
    </w:lvl>
    <w:lvl w:ilvl="6" w:tplc="336C3714">
      <w:start w:val="1"/>
      <w:numFmt w:val="bullet"/>
      <w:lvlText w:val=""/>
      <w:lvlJc w:val="left"/>
      <w:pPr>
        <w:ind w:left="5040" w:hanging="360"/>
      </w:pPr>
      <w:rPr>
        <w:rFonts w:ascii="Symbol" w:hAnsi="Symbol" w:hint="default"/>
      </w:rPr>
    </w:lvl>
    <w:lvl w:ilvl="7" w:tplc="52C4B4FA">
      <w:start w:val="1"/>
      <w:numFmt w:val="bullet"/>
      <w:lvlText w:val="o"/>
      <w:lvlJc w:val="left"/>
      <w:pPr>
        <w:ind w:left="5760" w:hanging="360"/>
      </w:pPr>
      <w:rPr>
        <w:rFonts w:ascii="Courier New" w:hAnsi="Courier New" w:hint="default"/>
      </w:rPr>
    </w:lvl>
    <w:lvl w:ilvl="8" w:tplc="6778EB6C">
      <w:start w:val="1"/>
      <w:numFmt w:val="bullet"/>
      <w:lvlText w:val=""/>
      <w:lvlJc w:val="left"/>
      <w:pPr>
        <w:ind w:left="6480" w:hanging="360"/>
      </w:pPr>
      <w:rPr>
        <w:rFonts w:ascii="Wingdings" w:hAnsi="Wingdings" w:hint="default"/>
      </w:rPr>
    </w:lvl>
  </w:abstractNum>
  <w:abstractNum w:abstractNumId="2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40AA0368"/>
    <w:multiLevelType w:val="hybridMultilevel"/>
    <w:tmpl w:val="BF442B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BD32874"/>
    <w:multiLevelType w:val="multilevel"/>
    <w:tmpl w:val="6A666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82406A"/>
    <w:multiLevelType w:val="hybridMultilevel"/>
    <w:tmpl w:val="72DCC1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6201683"/>
    <w:multiLevelType w:val="hybridMultilevel"/>
    <w:tmpl w:val="ABCEA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85540FE"/>
    <w:multiLevelType w:val="hybridMultilevel"/>
    <w:tmpl w:val="E6668C94"/>
    <w:lvl w:ilvl="0" w:tplc="813C3C0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0" w15:restartNumberingAfterBreak="0">
    <w:nsid w:val="6EA1DA23"/>
    <w:multiLevelType w:val="hybridMultilevel"/>
    <w:tmpl w:val="9DF0AE7C"/>
    <w:lvl w:ilvl="0" w:tplc="3E5E0F72">
      <w:start w:val="1"/>
      <w:numFmt w:val="decimal"/>
      <w:lvlText w:val="%1."/>
      <w:lvlJc w:val="left"/>
      <w:pPr>
        <w:ind w:left="360" w:hanging="360"/>
      </w:pPr>
    </w:lvl>
    <w:lvl w:ilvl="1" w:tplc="084E19BE">
      <w:start w:val="1"/>
      <w:numFmt w:val="lowerLetter"/>
      <w:lvlText w:val="%2."/>
      <w:lvlJc w:val="left"/>
      <w:pPr>
        <w:ind w:left="1080" w:hanging="360"/>
      </w:pPr>
    </w:lvl>
    <w:lvl w:ilvl="2" w:tplc="D8AE49FC">
      <w:start w:val="1"/>
      <w:numFmt w:val="lowerRoman"/>
      <w:lvlText w:val="%3."/>
      <w:lvlJc w:val="right"/>
      <w:pPr>
        <w:ind w:left="1800" w:hanging="180"/>
      </w:pPr>
    </w:lvl>
    <w:lvl w:ilvl="3" w:tplc="AA588D30">
      <w:start w:val="1"/>
      <w:numFmt w:val="decimal"/>
      <w:lvlText w:val="%4."/>
      <w:lvlJc w:val="left"/>
      <w:pPr>
        <w:ind w:left="2520" w:hanging="360"/>
      </w:pPr>
    </w:lvl>
    <w:lvl w:ilvl="4" w:tplc="CE4841C4">
      <w:start w:val="1"/>
      <w:numFmt w:val="lowerLetter"/>
      <w:lvlText w:val="%5."/>
      <w:lvlJc w:val="left"/>
      <w:pPr>
        <w:ind w:left="3240" w:hanging="360"/>
      </w:pPr>
    </w:lvl>
    <w:lvl w:ilvl="5" w:tplc="7E6426D2">
      <w:start w:val="1"/>
      <w:numFmt w:val="lowerRoman"/>
      <w:lvlText w:val="%6."/>
      <w:lvlJc w:val="right"/>
      <w:pPr>
        <w:ind w:left="3960" w:hanging="180"/>
      </w:pPr>
    </w:lvl>
    <w:lvl w:ilvl="6" w:tplc="974E082E">
      <w:start w:val="1"/>
      <w:numFmt w:val="decimal"/>
      <w:lvlText w:val="%7."/>
      <w:lvlJc w:val="left"/>
      <w:pPr>
        <w:ind w:left="4680" w:hanging="360"/>
      </w:pPr>
    </w:lvl>
    <w:lvl w:ilvl="7" w:tplc="4D0AE2EE">
      <w:start w:val="1"/>
      <w:numFmt w:val="lowerLetter"/>
      <w:lvlText w:val="%8."/>
      <w:lvlJc w:val="left"/>
      <w:pPr>
        <w:ind w:left="5400" w:hanging="360"/>
      </w:pPr>
    </w:lvl>
    <w:lvl w:ilvl="8" w:tplc="6E2E5E76">
      <w:start w:val="1"/>
      <w:numFmt w:val="lowerRoman"/>
      <w:lvlText w:val="%9."/>
      <w:lvlJc w:val="right"/>
      <w:pPr>
        <w:ind w:left="6120" w:hanging="180"/>
      </w:pPr>
    </w:lvl>
  </w:abstractNum>
  <w:abstractNum w:abstractNumId="3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BE6064E"/>
    <w:multiLevelType w:val="hybridMultilevel"/>
    <w:tmpl w:val="315273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D737E4E"/>
    <w:multiLevelType w:val="hybridMultilevel"/>
    <w:tmpl w:val="C8F85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30"/>
  </w:num>
  <w:num w:numId="3">
    <w:abstractNumId w:val="16"/>
  </w:num>
  <w:num w:numId="4">
    <w:abstractNumId w:val="2"/>
  </w:num>
  <w:num w:numId="5">
    <w:abstractNumId w:val="4"/>
  </w:num>
  <w:num w:numId="6">
    <w:abstractNumId w:val="20"/>
  </w:num>
  <w:num w:numId="7">
    <w:abstractNumId w:val="17"/>
  </w:num>
  <w:num w:numId="8">
    <w:abstractNumId w:val="11"/>
  </w:num>
  <w:num w:numId="9">
    <w:abstractNumId w:val="8"/>
  </w:num>
  <w:num w:numId="10">
    <w:abstractNumId w:val="13"/>
  </w:num>
  <w:num w:numId="11">
    <w:abstractNumId w:val="15"/>
  </w:num>
  <w:num w:numId="12">
    <w:abstractNumId w:val="5"/>
  </w:num>
  <w:num w:numId="13">
    <w:abstractNumId w:val="21"/>
  </w:num>
  <w:num w:numId="14">
    <w:abstractNumId w:val="28"/>
  </w:num>
  <w:num w:numId="15">
    <w:abstractNumId w:val="33"/>
  </w:num>
  <w:num w:numId="16">
    <w:abstractNumId w:val="31"/>
  </w:num>
  <w:num w:numId="17">
    <w:abstractNumId w:val="29"/>
  </w:num>
  <w:num w:numId="18">
    <w:abstractNumId w:val="9"/>
  </w:num>
  <w:num w:numId="19">
    <w:abstractNumId w:val="32"/>
  </w:num>
  <w:num w:numId="20">
    <w:abstractNumId w:val="25"/>
  </w:num>
  <w:num w:numId="21">
    <w:abstractNumId w:val="26"/>
  </w:num>
  <w:num w:numId="22">
    <w:abstractNumId w:val="1"/>
  </w:num>
  <w:num w:numId="23">
    <w:abstractNumId w:val="34"/>
  </w:num>
  <w:num w:numId="24">
    <w:abstractNumId w:val="22"/>
  </w:num>
  <w:num w:numId="25">
    <w:abstractNumId w:val="3"/>
  </w:num>
  <w:num w:numId="26">
    <w:abstractNumId w:val="10"/>
  </w:num>
  <w:num w:numId="27">
    <w:abstractNumId w:val="18"/>
  </w:num>
  <w:num w:numId="28">
    <w:abstractNumId w:val="19"/>
  </w:num>
  <w:num w:numId="29">
    <w:abstractNumId w:val="7"/>
  </w:num>
  <w:num w:numId="30">
    <w:abstractNumId w:val="12"/>
  </w:num>
  <w:num w:numId="31">
    <w:abstractNumId w:val="23"/>
  </w:num>
  <w:num w:numId="32">
    <w:abstractNumId w:val="6"/>
  </w:num>
  <w:num w:numId="33">
    <w:abstractNumId w:val="35"/>
  </w:num>
  <w:num w:numId="34">
    <w:abstractNumId w:val="24"/>
  </w:num>
  <w:num w:numId="35">
    <w:abstractNumId w:val="0"/>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3EB6"/>
    <w:rsid w:val="00020D2A"/>
    <w:rsid w:val="000243A6"/>
    <w:rsid w:val="00055A19"/>
    <w:rsid w:val="00066B73"/>
    <w:rsid w:val="000816BF"/>
    <w:rsid w:val="000C33AF"/>
    <w:rsid w:val="000C3ED6"/>
    <w:rsid w:val="000C7AFA"/>
    <w:rsid w:val="00120AB1"/>
    <w:rsid w:val="0013263A"/>
    <w:rsid w:val="0013679E"/>
    <w:rsid w:val="0017682A"/>
    <w:rsid w:val="001B4C3D"/>
    <w:rsid w:val="001F5DD5"/>
    <w:rsid w:val="00203260"/>
    <w:rsid w:val="00275DB8"/>
    <w:rsid w:val="003832E7"/>
    <w:rsid w:val="003D00E0"/>
    <w:rsid w:val="003D5730"/>
    <w:rsid w:val="004044AA"/>
    <w:rsid w:val="00415891"/>
    <w:rsid w:val="00567AAE"/>
    <w:rsid w:val="005B2001"/>
    <w:rsid w:val="00603FDD"/>
    <w:rsid w:val="006113AB"/>
    <w:rsid w:val="00640520"/>
    <w:rsid w:val="00652BD9"/>
    <w:rsid w:val="00674803"/>
    <w:rsid w:val="006838F2"/>
    <w:rsid w:val="006B0EA5"/>
    <w:rsid w:val="006B2E2F"/>
    <w:rsid w:val="006E7FB1"/>
    <w:rsid w:val="00741B9E"/>
    <w:rsid w:val="00764470"/>
    <w:rsid w:val="0077498C"/>
    <w:rsid w:val="00793A36"/>
    <w:rsid w:val="007B7AB4"/>
    <w:rsid w:val="007C2F04"/>
    <w:rsid w:val="0080461B"/>
    <w:rsid w:val="00823206"/>
    <w:rsid w:val="008542B7"/>
    <w:rsid w:val="00862EA8"/>
    <w:rsid w:val="008D2C03"/>
    <w:rsid w:val="008F0A3D"/>
    <w:rsid w:val="009432DD"/>
    <w:rsid w:val="009545B6"/>
    <w:rsid w:val="00960888"/>
    <w:rsid w:val="0098516C"/>
    <w:rsid w:val="009D71E8"/>
    <w:rsid w:val="00A1336C"/>
    <w:rsid w:val="00A524B9"/>
    <w:rsid w:val="00A542AD"/>
    <w:rsid w:val="00A65A8B"/>
    <w:rsid w:val="00AE0334"/>
    <w:rsid w:val="00B56576"/>
    <w:rsid w:val="00BF01E7"/>
    <w:rsid w:val="00C10B78"/>
    <w:rsid w:val="00C26749"/>
    <w:rsid w:val="00C35517"/>
    <w:rsid w:val="00C63D45"/>
    <w:rsid w:val="00CA0DED"/>
    <w:rsid w:val="00D07543"/>
    <w:rsid w:val="00D33FE5"/>
    <w:rsid w:val="00D931EA"/>
    <w:rsid w:val="00D97EC6"/>
    <w:rsid w:val="00DE53BC"/>
    <w:rsid w:val="00DF123D"/>
    <w:rsid w:val="00E023CB"/>
    <w:rsid w:val="00E256A5"/>
    <w:rsid w:val="00E31F34"/>
    <w:rsid w:val="00E41D0E"/>
    <w:rsid w:val="00E66558"/>
    <w:rsid w:val="00E874BF"/>
    <w:rsid w:val="00EA6C4C"/>
    <w:rsid w:val="00EC4C68"/>
    <w:rsid w:val="00F15D4F"/>
    <w:rsid w:val="00F33CF1"/>
    <w:rsid w:val="0106C621"/>
    <w:rsid w:val="014EBB63"/>
    <w:rsid w:val="01D98F35"/>
    <w:rsid w:val="01F1F285"/>
    <w:rsid w:val="030EEB9F"/>
    <w:rsid w:val="033C7204"/>
    <w:rsid w:val="03DFECE6"/>
    <w:rsid w:val="0427EE5D"/>
    <w:rsid w:val="04363131"/>
    <w:rsid w:val="0512ABA0"/>
    <w:rsid w:val="05725267"/>
    <w:rsid w:val="057BBD47"/>
    <w:rsid w:val="05E29EF3"/>
    <w:rsid w:val="07178DA8"/>
    <w:rsid w:val="075F236B"/>
    <w:rsid w:val="0895D4F6"/>
    <w:rsid w:val="09002BFD"/>
    <w:rsid w:val="091EABD6"/>
    <w:rsid w:val="0979386E"/>
    <w:rsid w:val="0AB640F8"/>
    <w:rsid w:val="0B01E0CC"/>
    <w:rsid w:val="0B020790"/>
    <w:rsid w:val="0BDE8795"/>
    <w:rsid w:val="0CFEEFB7"/>
    <w:rsid w:val="0D1F413A"/>
    <w:rsid w:val="0D8766A4"/>
    <w:rsid w:val="0E39A852"/>
    <w:rsid w:val="0E4D87B6"/>
    <w:rsid w:val="0E8882DD"/>
    <w:rsid w:val="0F75F8A1"/>
    <w:rsid w:val="10BF0766"/>
    <w:rsid w:val="10FD9E46"/>
    <w:rsid w:val="14A8E9D6"/>
    <w:rsid w:val="15D65D2E"/>
    <w:rsid w:val="16568546"/>
    <w:rsid w:val="17167A7F"/>
    <w:rsid w:val="17AE9C9A"/>
    <w:rsid w:val="180F3C74"/>
    <w:rsid w:val="192A489C"/>
    <w:rsid w:val="1973BA2A"/>
    <w:rsid w:val="19801758"/>
    <w:rsid w:val="1B059D0F"/>
    <w:rsid w:val="1C115E5D"/>
    <w:rsid w:val="1D9CB75F"/>
    <w:rsid w:val="1DC22A83"/>
    <w:rsid w:val="1DE7A99E"/>
    <w:rsid w:val="1F1F8152"/>
    <w:rsid w:val="20C63713"/>
    <w:rsid w:val="223885AA"/>
    <w:rsid w:val="233C0B8D"/>
    <w:rsid w:val="24E3BE98"/>
    <w:rsid w:val="24F91C31"/>
    <w:rsid w:val="26627E6B"/>
    <w:rsid w:val="272DDC21"/>
    <w:rsid w:val="2BB4A90C"/>
    <w:rsid w:val="2C6B4D16"/>
    <w:rsid w:val="2CAFBDA6"/>
    <w:rsid w:val="2DE746AC"/>
    <w:rsid w:val="2F2FDAAE"/>
    <w:rsid w:val="300EBB2B"/>
    <w:rsid w:val="30DC5ADD"/>
    <w:rsid w:val="3275E484"/>
    <w:rsid w:val="3311D736"/>
    <w:rsid w:val="33489194"/>
    <w:rsid w:val="3362B0AC"/>
    <w:rsid w:val="33F4A6A4"/>
    <w:rsid w:val="3413FB9F"/>
    <w:rsid w:val="34769D7C"/>
    <w:rsid w:val="34A9DFF8"/>
    <w:rsid w:val="35AD8546"/>
    <w:rsid w:val="365992C7"/>
    <w:rsid w:val="36B10B24"/>
    <w:rsid w:val="375389E7"/>
    <w:rsid w:val="37B236CF"/>
    <w:rsid w:val="385C2A01"/>
    <w:rsid w:val="39C94710"/>
    <w:rsid w:val="3ADD33E0"/>
    <w:rsid w:val="3B53A379"/>
    <w:rsid w:val="3B9F383B"/>
    <w:rsid w:val="3BBDB274"/>
    <w:rsid w:val="3C7C9FF0"/>
    <w:rsid w:val="3C7F7CAD"/>
    <w:rsid w:val="3CA23C08"/>
    <w:rsid w:val="404D6996"/>
    <w:rsid w:val="405E04E8"/>
    <w:rsid w:val="409995E0"/>
    <w:rsid w:val="40FA6C2D"/>
    <w:rsid w:val="414AE70F"/>
    <w:rsid w:val="435A6788"/>
    <w:rsid w:val="44157592"/>
    <w:rsid w:val="468B5475"/>
    <w:rsid w:val="47EBC0A2"/>
    <w:rsid w:val="495BA69D"/>
    <w:rsid w:val="4B7EACF0"/>
    <w:rsid w:val="4CA16EDB"/>
    <w:rsid w:val="4D43F8A9"/>
    <w:rsid w:val="4D7D3646"/>
    <w:rsid w:val="4EAADB95"/>
    <w:rsid w:val="50039394"/>
    <w:rsid w:val="52FF381F"/>
    <w:rsid w:val="56BE9BB0"/>
    <w:rsid w:val="5865E244"/>
    <w:rsid w:val="5A60CCF5"/>
    <w:rsid w:val="5B6200DB"/>
    <w:rsid w:val="5BE3A993"/>
    <w:rsid w:val="5C5CA9BE"/>
    <w:rsid w:val="5C627329"/>
    <w:rsid w:val="5CDA2F80"/>
    <w:rsid w:val="5D2DDD34"/>
    <w:rsid w:val="5D3C81E8"/>
    <w:rsid w:val="5D705A03"/>
    <w:rsid w:val="5E5B508C"/>
    <w:rsid w:val="5EF97A9F"/>
    <w:rsid w:val="60F34D81"/>
    <w:rsid w:val="62EF9D03"/>
    <w:rsid w:val="63139581"/>
    <w:rsid w:val="6383F65B"/>
    <w:rsid w:val="6434637E"/>
    <w:rsid w:val="64DBDEE1"/>
    <w:rsid w:val="667CB5E1"/>
    <w:rsid w:val="67390F81"/>
    <w:rsid w:val="69020E1A"/>
    <w:rsid w:val="6A14EE71"/>
    <w:rsid w:val="6B20AB37"/>
    <w:rsid w:val="6C82CB33"/>
    <w:rsid w:val="6C8C2BDD"/>
    <w:rsid w:val="6CBC5EF2"/>
    <w:rsid w:val="6E37C3F1"/>
    <w:rsid w:val="6EDFCC8E"/>
    <w:rsid w:val="6EE197C7"/>
    <w:rsid w:val="7009C012"/>
    <w:rsid w:val="704F0887"/>
    <w:rsid w:val="719BACB4"/>
    <w:rsid w:val="74DE57FA"/>
    <w:rsid w:val="76FA13CF"/>
    <w:rsid w:val="77700D24"/>
    <w:rsid w:val="78B251C0"/>
    <w:rsid w:val="7A44B223"/>
    <w:rsid w:val="7C7D7C26"/>
    <w:rsid w:val="7D48DF24"/>
    <w:rsid w:val="7DDA977B"/>
    <w:rsid w:val="7E02EA71"/>
    <w:rsid w:val="7E750DB8"/>
    <w:rsid w:val="7E78D724"/>
    <w:rsid w:val="7EC0D843"/>
    <w:rsid w:val="7F50BA76"/>
    <w:rsid w:val="7FB2E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8"/>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8"/>
      </w:numPr>
      <w:spacing w:before="240" w:after="60"/>
      <w:outlineLvl w:val="5"/>
    </w:pPr>
    <w:rPr>
      <w:rFonts w:ascii="Calibri" w:hAnsi="Calibri"/>
      <w:b/>
      <w:bCs/>
      <w:szCs w:val="22"/>
    </w:rPr>
  </w:style>
  <w:style w:type="paragraph" w:styleId="Heading7">
    <w:name w:val="heading 7"/>
    <w:basedOn w:val="Normal"/>
    <w:next w:val="Normal"/>
    <w:pPr>
      <w:numPr>
        <w:ilvl w:val="6"/>
        <w:numId w:val="8"/>
      </w:numPr>
      <w:spacing w:before="240" w:after="60"/>
      <w:outlineLvl w:val="6"/>
    </w:pPr>
    <w:rPr>
      <w:rFonts w:ascii="Calibri" w:hAnsi="Calibri"/>
    </w:rPr>
  </w:style>
  <w:style w:type="paragraph" w:styleId="Heading8">
    <w:name w:val="heading 8"/>
    <w:basedOn w:val="Normal"/>
    <w:next w:val="Normal"/>
    <w:pPr>
      <w:numPr>
        <w:ilvl w:val="7"/>
        <w:numId w:val="8"/>
      </w:numPr>
      <w:spacing w:before="240" w:after="60"/>
      <w:outlineLvl w:val="7"/>
    </w:pPr>
    <w:rPr>
      <w:rFonts w:ascii="Calibri" w:hAnsi="Calibri"/>
      <w:i/>
      <w:iCs/>
    </w:rPr>
  </w:style>
  <w:style w:type="paragraph" w:styleId="Heading9">
    <w:name w:val="heading 9"/>
    <w:basedOn w:val="Normal"/>
    <w:next w:val="Normal"/>
    <w:pPr>
      <w:numPr>
        <w:ilvl w:val="8"/>
        <w:numId w:val="8"/>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8"/>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12"/>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11"/>
      </w:numPr>
      <w:contextualSpacing/>
    </w:pPr>
  </w:style>
  <w:style w:type="paragraph" w:styleId="ListParagraph">
    <w:name w:val="List Paragraph"/>
    <w:basedOn w:val="Normal"/>
    <w:pPr>
      <w:numPr>
        <w:numId w:val="15"/>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10"/>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13"/>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4"/>
      </w:numPr>
      <w:contextualSpacing/>
    </w:pPr>
  </w:style>
  <w:style w:type="paragraph" w:customStyle="1" w:styleId="DfESOutNumbered">
    <w:name w:val="DfESOutNumbered"/>
    <w:basedOn w:val="Normal"/>
    <w:pPr>
      <w:widowControl w:val="0"/>
      <w:numPr>
        <w:numId w:val="16"/>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7"/>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8"/>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9"/>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9"/>
      </w:numPr>
    </w:pPr>
  </w:style>
  <w:style w:type="numbering" w:customStyle="1" w:styleId="LFO3">
    <w:name w:val="LFO3"/>
    <w:basedOn w:val="NoList"/>
    <w:pPr>
      <w:numPr>
        <w:numId w:val="10"/>
      </w:numPr>
    </w:pPr>
  </w:style>
  <w:style w:type="numbering" w:customStyle="1" w:styleId="LFO4">
    <w:name w:val="LFO4"/>
    <w:basedOn w:val="NoList"/>
    <w:pPr>
      <w:numPr>
        <w:numId w:val="11"/>
      </w:numPr>
    </w:pPr>
  </w:style>
  <w:style w:type="numbering" w:customStyle="1" w:styleId="LFO6">
    <w:name w:val="LFO6"/>
    <w:basedOn w:val="NoList"/>
    <w:pPr>
      <w:numPr>
        <w:numId w:val="12"/>
      </w:numPr>
    </w:pPr>
  </w:style>
  <w:style w:type="numbering" w:customStyle="1" w:styleId="LFO9">
    <w:name w:val="LFO9"/>
    <w:basedOn w:val="NoList"/>
    <w:pPr>
      <w:numPr>
        <w:numId w:val="13"/>
      </w:numPr>
    </w:pPr>
  </w:style>
  <w:style w:type="numbering" w:customStyle="1" w:styleId="LFO10">
    <w:name w:val="LFO10"/>
    <w:basedOn w:val="NoList"/>
    <w:pPr>
      <w:numPr>
        <w:numId w:val="14"/>
      </w:numPr>
    </w:pPr>
  </w:style>
  <w:style w:type="numbering" w:customStyle="1" w:styleId="LFO25">
    <w:name w:val="LFO25"/>
    <w:basedOn w:val="NoList"/>
    <w:pPr>
      <w:numPr>
        <w:numId w:val="15"/>
      </w:numPr>
    </w:pPr>
  </w:style>
  <w:style w:type="numbering" w:customStyle="1" w:styleId="LFO28">
    <w:name w:val="LFO28"/>
    <w:basedOn w:val="NoList"/>
    <w:pPr>
      <w:numPr>
        <w:numId w:val="16"/>
      </w:numPr>
    </w:pPr>
  </w:style>
  <w:style w:type="numbering" w:customStyle="1" w:styleId="LFO30">
    <w:name w:val="LFO30"/>
    <w:basedOn w:val="NoList"/>
    <w:pPr>
      <w:numPr>
        <w:numId w:val="17"/>
      </w:numPr>
    </w:pPr>
  </w:style>
  <w:style w:type="numbering" w:customStyle="1" w:styleId="LFO34">
    <w:name w:val="LFO34"/>
    <w:basedOn w:val="NoList"/>
    <w:pPr>
      <w:numPr>
        <w:numId w:val="18"/>
      </w:numPr>
    </w:pPr>
  </w:style>
  <w:style w:type="numbering" w:customStyle="1" w:styleId="LFO36">
    <w:name w:val="LFO36"/>
    <w:basedOn w:val="NoList"/>
    <w:pPr>
      <w:numPr>
        <w:numId w:val="19"/>
      </w:numPr>
    </w:pPr>
  </w:style>
  <w:style w:type="paragraph" w:styleId="NoSpacing">
    <w:name w:val="No Spacing"/>
    <w:uiPriority w:val="1"/>
    <w:qFormat/>
    <w:rsid w:val="00A542AD"/>
    <w:pPr>
      <w:autoSpaceDN/>
    </w:pPr>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1B4C3D"/>
    <w:rPr>
      <w:b/>
      <w:bCs/>
    </w:rPr>
  </w:style>
  <w:style w:type="table" w:styleId="TableGrid">
    <w:name w:val="Table Grid"/>
    <w:basedOn w:val="TableNormal"/>
    <w:uiPriority w:val="39"/>
    <w:rsid w:val="003832E7"/>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A6C4C"/>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205809">
      <w:bodyDiv w:val="1"/>
      <w:marLeft w:val="0"/>
      <w:marRight w:val="0"/>
      <w:marTop w:val="0"/>
      <w:marBottom w:val="0"/>
      <w:divBdr>
        <w:top w:val="none" w:sz="0" w:space="0" w:color="auto"/>
        <w:left w:val="none" w:sz="0" w:space="0" w:color="auto"/>
        <w:bottom w:val="none" w:sz="0" w:space="0" w:color="auto"/>
        <w:right w:val="none" w:sz="0" w:space="0" w:color="auto"/>
      </w:divBdr>
    </w:div>
    <w:div w:id="1767538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f0b884b-20dc-464b-a278-b4358e8ce90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69097CC43FB142869EF6839383A8CA" ma:contentTypeVersion="18" ma:contentTypeDescription="Create a new document." ma:contentTypeScope="" ma:versionID="0a11408d877aabdc771f12e0477ae7a1">
  <xsd:schema xmlns:xsd="http://www.w3.org/2001/XMLSchema" xmlns:xs="http://www.w3.org/2001/XMLSchema" xmlns:p="http://schemas.microsoft.com/office/2006/metadata/properties" xmlns:ns3="7f0b884b-20dc-464b-a278-b4358e8ce901" xmlns:ns4="d0950b15-c7cf-4bb8-8695-9bdd88fa0d05" targetNamespace="http://schemas.microsoft.com/office/2006/metadata/properties" ma:root="true" ma:fieldsID="b874c791eb776b865f4def8921e9c106" ns3:_="" ns4:_="">
    <xsd:import namespace="7f0b884b-20dc-464b-a278-b4358e8ce901"/>
    <xsd:import namespace="d0950b15-c7cf-4bb8-8695-9bdd88fa0d0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b884b-20dc-464b-a278-b4358e8ce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950b15-c7cf-4bb8-8695-9bdd88fa0d0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B45C6B-D08F-4196-A1BD-D616D65AEC7E}">
  <ds:schemaRefs>
    <ds:schemaRef ds:uri="http://schemas.microsoft.com/sharepoint/v3/contenttype/forms"/>
  </ds:schemaRefs>
</ds:datastoreItem>
</file>

<file path=customXml/itemProps2.xml><?xml version="1.0" encoding="utf-8"?>
<ds:datastoreItem xmlns:ds="http://schemas.openxmlformats.org/officeDocument/2006/customXml" ds:itemID="{81236AE7-DDA8-4BA3-8520-200B027FF333}">
  <ds:schemaRef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7f0b884b-20dc-464b-a278-b4358e8ce901"/>
    <ds:schemaRef ds:uri="d0950b15-c7cf-4bb8-8695-9bdd88fa0d05"/>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7B7C785-9899-4C94-92E4-5B1EBA432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b884b-20dc-464b-a278-b4358e8ce901"/>
    <ds:schemaRef ds:uri="d0950b15-c7cf-4bb8-8695-9bdd88fa0d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2210</Words>
  <Characters>12602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Tom Shrimpling</cp:lastModifiedBy>
  <cp:revision>6</cp:revision>
  <cp:lastPrinted>2021-10-08T08:34:00Z</cp:lastPrinted>
  <dcterms:created xsi:type="dcterms:W3CDTF">2024-11-27T11:15:00Z</dcterms:created>
  <dcterms:modified xsi:type="dcterms:W3CDTF">2025-02-06T15:15:00Z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0x010100B569097CC43FB142869EF6839383A8CA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