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EF6D6C">
      <w:r>
        <w:rPr>
          <w:rFonts w:ascii="Times New Roman" w:hAnsi="Times New Roman"/>
          <w:noProof/>
          <w:sz w:val="24"/>
          <w:szCs w:val="24"/>
          <w:lang w:eastAsia="en-GB"/>
        </w:rPr>
        <w:drawing>
          <wp:anchor distT="36576" distB="36576" distL="36576" distR="36576" simplePos="0" relativeHeight="251668480" behindDoc="0" locked="0" layoutInCell="1" allowOverlap="1" wp14:anchorId="339FD2D2" wp14:editId="156798AF">
            <wp:simplePos x="0" y="0"/>
            <wp:positionH relativeFrom="column">
              <wp:posOffset>5010150</wp:posOffset>
            </wp:positionH>
            <wp:positionV relativeFrom="paragraph">
              <wp:posOffset>-448310</wp:posOffset>
            </wp:positionV>
            <wp:extent cx="1159510" cy="895985"/>
            <wp:effectExtent l="0" t="0" r="2540" b="0"/>
            <wp:wrapNone/>
            <wp:docPr id="2" name="Picture 2"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510" cy="895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5FA4">
        <w:rPr>
          <w:noProof/>
          <w:lang w:eastAsia="en-GB"/>
        </w:rPr>
        <mc:AlternateContent>
          <mc:Choice Requires="wps">
            <w:drawing>
              <wp:anchor distT="0" distB="0" distL="114300" distR="114300" simplePos="0" relativeHeight="251664384" behindDoc="0" locked="0" layoutInCell="1" allowOverlap="1" wp14:anchorId="4203759A" wp14:editId="19C36426">
                <wp:simplePos x="0" y="0"/>
                <wp:positionH relativeFrom="column">
                  <wp:posOffset>1409700</wp:posOffset>
                </wp:positionH>
                <wp:positionV relativeFrom="paragraph">
                  <wp:posOffset>-447675</wp:posOffset>
                </wp:positionV>
                <wp:extent cx="31813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noFill/>
                          <a:miter lim="800000"/>
                          <a:headEnd/>
                          <a:tailEnd/>
                        </a:ln>
                      </wps:spPr>
                      <wps:txbx>
                        <w:txbxContent>
                          <w:p w:rsidR="00EF6D6C" w:rsidRDefault="00A61C68" w:rsidP="009D19F0">
                            <w:pPr>
                              <w:pStyle w:val="NoSpacing"/>
                              <w:rPr>
                                <w:rFonts w:ascii="Arial" w:hAnsi="Arial" w:cs="Arial"/>
                                <w:b/>
                                <w:color w:val="7030A0"/>
                                <w:sz w:val="48"/>
                                <w:szCs w:val="48"/>
                              </w:rPr>
                            </w:pPr>
                            <w:r w:rsidRPr="00EF6D6C">
                              <w:rPr>
                                <w:rFonts w:ascii="Arial" w:hAnsi="Arial" w:cs="Arial"/>
                                <w:b/>
                                <w:color w:val="7030A0"/>
                                <w:sz w:val="48"/>
                                <w:szCs w:val="48"/>
                              </w:rPr>
                              <w:t xml:space="preserve">Chemistry </w:t>
                            </w:r>
                          </w:p>
                          <w:p w:rsidR="009D19F0" w:rsidRPr="00EF6D6C" w:rsidRDefault="009D19F0" w:rsidP="009D19F0">
                            <w:pPr>
                              <w:pStyle w:val="NoSpacing"/>
                              <w:rPr>
                                <w:rFonts w:ascii="Arial" w:hAnsi="Arial" w:cs="Arial"/>
                                <w:b/>
                                <w:color w:val="7030A0"/>
                                <w:sz w:val="48"/>
                                <w:szCs w:val="48"/>
                              </w:rPr>
                            </w:pPr>
                            <w:r w:rsidRPr="00EF6D6C">
                              <w:rPr>
                                <w:rFonts w:ascii="Arial" w:hAnsi="Arial" w:cs="Arial"/>
                                <w:b/>
                                <w:color w:val="7030A0"/>
                                <w:sz w:val="48"/>
                                <w:szCs w:val="48"/>
                              </w:rPr>
                              <w:t>A Level</w:t>
                            </w:r>
                            <w:r w:rsidR="002960C3" w:rsidRPr="00EF6D6C">
                              <w:rPr>
                                <w:rFonts w:ascii="Arial" w:hAnsi="Arial" w:cs="Arial"/>
                                <w:b/>
                                <w:color w:val="7030A0"/>
                                <w:sz w:val="48"/>
                                <w:szCs w:val="48"/>
                              </w:rPr>
                              <w:t xml:space="preserve"> 202</w:t>
                            </w:r>
                            <w:r w:rsidR="00BB27E0">
                              <w:rPr>
                                <w:rFonts w:ascii="Arial" w:hAnsi="Arial" w:cs="Arial"/>
                                <w:b/>
                                <w:color w:val="7030A0"/>
                                <w:sz w:val="48"/>
                                <w:szCs w:val="48"/>
                              </w:rPr>
                              <w:t>4</w:t>
                            </w:r>
                            <w:r w:rsidR="002960C3" w:rsidRPr="00EF6D6C">
                              <w:rPr>
                                <w:rFonts w:ascii="Arial" w:hAnsi="Arial" w:cs="Arial"/>
                                <w:b/>
                                <w:color w:val="7030A0"/>
                                <w:sz w:val="48"/>
                                <w:szCs w:val="48"/>
                              </w:rPr>
                              <w:t xml:space="preserve"> - 202</w:t>
                            </w:r>
                            <w:r w:rsidR="00BB27E0">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3759A" id="_x0000_t202" coordsize="21600,21600" o:spt="202" path="m,l,21600r21600,l21600,xe">
                <v:stroke joinstyle="miter"/>
                <v:path gradientshapeok="t" o:connecttype="rect"/>
              </v:shapetype>
              <v:shape id="Text Box 2" o:spid="_x0000_s1026" type="#_x0000_t202" style="position:absolute;margin-left:111pt;margin-top:-35.25pt;width:2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ZRIAIAABw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" stroked="f">
                <v:textbox style="mso-fit-shape-to-text:t">
                  <w:txbxContent>
                    <w:p w:rsidR="00EF6D6C" w:rsidRDefault="00A61C68" w:rsidP="009D19F0">
                      <w:pPr>
                        <w:pStyle w:val="NoSpacing"/>
                        <w:rPr>
                          <w:rFonts w:ascii="Arial" w:hAnsi="Arial" w:cs="Arial"/>
                          <w:b/>
                          <w:color w:val="7030A0"/>
                          <w:sz w:val="48"/>
                          <w:szCs w:val="48"/>
                        </w:rPr>
                      </w:pPr>
                      <w:r w:rsidRPr="00EF6D6C">
                        <w:rPr>
                          <w:rFonts w:ascii="Arial" w:hAnsi="Arial" w:cs="Arial"/>
                          <w:b/>
                          <w:color w:val="7030A0"/>
                          <w:sz w:val="48"/>
                          <w:szCs w:val="48"/>
                        </w:rPr>
                        <w:t xml:space="preserve">Chemistry </w:t>
                      </w:r>
                    </w:p>
                    <w:p w:rsidR="009D19F0" w:rsidRPr="00EF6D6C" w:rsidRDefault="009D19F0" w:rsidP="009D19F0">
                      <w:pPr>
                        <w:pStyle w:val="NoSpacing"/>
                        <w:rPr>
                          <w:rFonts w:ascii="Arial" w:hAnsi="Arial" w:cs="Arial"/>
                          <w:b/>
                          <w:color w:val="7030A0"/>
                          <w:sz w:val="48"/>
                          <w:szCs w:val="48"/>
                        </w:rPr>
                      </w:pPr>
                      <w:r w:rsidRPr="00EF6D6C">
                        <w:rPr>
                          <w:rFonts w:ascii="Arial" w:hAnsi="Arial" w:cs="Arial"/>
                          <w:b/>
                          <w:color w:val="7030A0"/>
                          <w:sz w:val="48"/>
                          <w:szCs w:val="48"/>
                        </w:rPr>
                        <w:t>A Level</w:t>
                      </w:r>
                      <w:r w:rsidR="002960C3" w:rsidRPr="00EF6D6C">
                        <w:rPr>
                          <w:rFonts w:ascii="Arial" w:hAnsi="Arial" w:cs="Arial"/>
                          <w:b/>
                          <w:color w:val="7030A0"/>
                          <w:sz w:val="48"/>
                          <w:szCs w:val="48"/>
                        </w:rPr>
                        <w:t xml:space="preserve"> 202</w:t>
                      </w:r>
                      <w:r w:rsidR="00BB27E0">
                        <w:rPr>
                          <w:rFonts w:ascii="Arial" w:hAnsi="Arial" w:cs="Arial"/>
                          <w:b/>
                          <w:color w:val="7030A0"/>
                          <w:sz w:val="48"/>
                          <w:szCs w:val="48"/>
                        </w:rPr>
                        <w:t>4</w:t>
                      </w:r>
                      <w:r w:rsidR="002960C3" w:rsidRPr="00EF6D6C">
                        <w:rPr>
                          <w:rFonts w:ascii="Arial" w:hAnsi="Arial" w:cs="Arial"/>
                          <w:b/>
                          <w:color w:val="7030A0"/>
                          <w:sz w:val="48"/>
                          <w:szCs w:val="48"/>
                        </w:rPr>
                        <w:t xml:space="preserve"> - 202</w:t>
                      </w:r>
                      <w:r w:rsidR="00BB27E0">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4259359C" wp14:editId="736A78D0">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359C"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56A9A6EB" wp14:editId="457559D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915BBD" w:rsidRDefault="00AF0F9E" w:rsidP="00182917">
      <w:r>
        <w:rPr>
          <w:noProof/>
          <w:color w:val="7030A0"/>
          <w:lang w:eastAsia="en-GB"/>
        </w:rPr>
        <mc:AlternateContent>
          <mc:Choice Requires="wps">
            <w:drawing>
              <wp:anchor distT="0" distB="0" distL="114300" distR="114300" simplePos="0" relativeHeight="251670528"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2ED39BA1"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915BBD" w:rsidRDefault="00915BBD" w:rsidP="00915BBD">
      <w:pPr>
        <w:rPr>
          <w:rFonts w:ascii="Arial" w:hAnsi="Arial" w:cs="Arial"/>
          <w:b/>
          <w:color w:val="7030A0"/>
          <w:sz w:val="24"/>
          <w:szCs w:val="24"/>
        </w:rPr>
      </w:pPr>
      <w:r w:rsidRPr="00513D04">
        <w:rPr>
          <w:rFonts w:ascii="Arial" w:hAnsi="Arial" w:cs="Arial"/>
          <w:b/>
          <w:color w:val="7030A0"/>
          <w:sz w:val="24"/>
          <w:szCs w:val="24"/>
        </w:rPr>
        <w:t>Examination Board</w:t>
      </w:r>
    </w:p>
    <w:p w:rsidR="00915BBD" w:rsidRPr="00513D04" w:rsidRDefault="00915BBD" w:rsidP="00915BBD">
      <w:pPr>
        <w:rPr>
          <w:rFonts w:ascii="Arial" w:hAnsi="Arial" w:cs="Arial"/>
          <w:color w:val="000000" w:themeColor="text1"/>
          <w:sz w:val="24"/>
          <w:szCs w:val="24"/>
        </w:rPr>
      </w:pPr>
      <w:r w:rsidRPr="00513D04">
        <w:rPr>
          <w:rFonts w:ascii="Arial" w:hAnsi="Arial" w:cs="Arial"/>
          <w:color w:val="000000" w:themeColor="text1"/>
          <w:sz w:val="24"/>
          <w:szCs w:val="24"/>
        </w:rPr>
        <w:t>OCR</w:t>
      </w:r>
      <w:r>
        <w:rPr>
          <w:rFonts w:ascii="Arial" w:hAnsi="Arial" w:cs="Arial"/>
          <w:color w:val="000000" w:themeColor="text1"/>
          <w:sz w:val="24"/>
          <w:szCs w:val="24"/>
        </w:rPr>
        <w:t xml:space="preserve"> </w:t>
      </w:r>
      <w:r w:rsidR="005D2283">
        <w:rPr>
          <w:rFonts w:ascii="Arial" w:hAnsi="Arial" w:cs="Arial"/>
          <w:color w:val="000000" w:themeColor="text1"/>
          <w:sz w:val="24"/>
          <w:szCs w:val="24"/>
        </w:rPr>
        <w:t>A</w:t>
      </w:r>
    </w:p>
    <w:p w:rsidR="00585BF5" w:rsidRPr="002960C3" w:rsidRDefault="00585BF5" w:rsidP="00585BF5">
      <w:pPr>
        <w:jc w:val="both"/>
        <w:rPr>
          <w:rFonts w:ascii="Arial" w:hAnsi="Arial" w:cs="Arial"/>
          <w:b/>
          <w:color w:val="7030A0"/>
          <w:sz w:val="24"/>
          <w:szCs w:val="24"/>
        </w:rPr>
      </w:pPr>
      <w:r w:rsidRPr="002960C3">
        <w:rPr>
          <w:rFonts w:ascii="Arial" w:hAnsi="Arial" w:cs="Arial"/>
          <w:b/>
          <w:color w:val="7030A0"/>
          <w:sz w:val="24"/>
          <w:szCs w:val="24"/>
        </w:rPr>
        <w:t>Entry Requirements:</w:t>
      </w:r>
    </w:p>
    <w:p w:rsidR="00C7259F" w:rsidRPr="002960C3" w:rsidRDefault="00C7259F" w:rsidP="002960C3">
      <w:pPr>
        <w:spacing w:line="240" w:lineRule="auto"/>
        <w:jc w:val="both"/>
        <w:rPr>
          <w:rFonts w:ascii="Arial" w:hAnsi="Arial" w:cs="Arial"/>
          <w:b/>
          <w:color w:val="000000" w:themeColor="text1"/>
        </w:rPr>
      </w:pPr>
      <w:r w:rsidRPr="002960C3">
        <w:rPr>
          <w:rFonts w:ascii="Arial" w:hAnsi="Arial" w:cs="Arial"/>
          <w:color w:val="000000" w:themeColor="text1"/>
          <w:shd w:val="clear" w:color="auto" w:fill="FFFFFF"/>
        </w:rPr>
        <w:t>A GCSE grade 6</w:t>
      </w:r>
      <w:r w:rsidR="00B45178">
        <w:rPr>
          <w:rFonts w:ascii="Arial" w:hAnsi="Arial" w:cs="Arial"/>
          <w:color w:val="000000" w:themeColor="text1"/>
          <w:shd w:val="clear" w:color="auto" w:fill="FFFFFF"/>
        </w:rPr>
        <w:t xml:space="preserve">, </w:t>
      </w:r>
      <w:r w:rsidRPr="002960C3">
        <w:rPr>
          <w:rFonts w:ascii="Arial" w:hAnsi="Arial" w:cs="Arial"/>
          <w:color w:val="000000" w:themeColor="text1"/>
          <w:shd w:val="clear" w:color="auto" w:fill="FFFFFF"/>
        </w:rPr>
        <w:t xml:space="preserve">6 in Combined </w:t>
      </w:r>
      <w:r w:rsidR="00B45178">
        <w:rPr>
          <w:rFonts w:ascii="Arial" w:hAnsi="Arial" w:cs="Arial"/>
          <w:color w:val="000000" w:themeColor="text1"/>
          <w:shd w:val="clear" w:color="auto" w:fill="FFFFFF"/>
        </w:rPr>
        <w:t>S</w:t>
      </w:r>
      <w:r w:rsidRPr="002960C3">
        <w:rPr>
          <w:rFonts w:ascii="Arial" w:hAnsi="Arial" w:cs="Arial"/>
          <w:color w:val="000000" w:themeColor="text1"/>
          <w:shd w:val="clear" w:color="auto" w:fill="FFFFFF"/>
        </w:rPr>
        <w:t xml:space="preserve">cience or grade 6 in </w:t>
      </w:r>
      <w:r w:rsidR="00B45178">
        <w:rPr>
          <w:rFonts w:ascii="Arial" w:hAnsi="Arial" w:cs="Arial"/>
          <w:color w:val="000000" w:themeColor="text1"/>
          <w:shd w:val="clear" w:color="auto" w:fill="FFFFFF"/>
        </w:rPr>
        <w:t>GCSE C</w:t>
      </w:r>
      <w:r w:rsidRPr="002960C3">
        <w:rPr>
          <w:rFonts w:ascii="Arial" w:hAnsi="Arial" w:cs="Arial"/>
          <w:color w:val="000000" w:themeColor="text1"/>
          <w:shd w:val="clear" w:color="auto" w:fill="FFFFFF"/>
        </w:rPr>
        <w:t>hemistry and a minimum grade 5 in GCSE Maths is also necessary.</w:t>
      </w:r>
    </w:p>
    <w:p w:rsidR="00585BF5" w:rsidRPr="002960C3" w:rsidRDefault="00585BF5" w:rsidP="00585BF5">
      <w:pPr>
        <w:jc w:val="both"/>
        <w:rPr>
          <w:rFonts w:ascii="Arial" w:hAnsi="Arial" w:cs="Arial"/>
          <w:b/>
          <w:color w:val="7030A0"/>
          <w:sz w:val="24"/>
          <w:szCs w:val="24"/>
        </w:rPr>
      </w:pPr>
      <w:r w:rsidRPr="002960C3">
        <w:rPr>
          <w:rFonts w:ascii="Arial" w:hAnsi="Arial" w:cs="Arial"/>
          <w:b/>
          <w:color w:val="7030A0"/>
          <w:sz w:val="24"/>
          <w:szCs w:val="24"/>
        </w:rPr>
        <w:t>What will I be studying?</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In the A Level course there are six teaching modules. These organise the subject into rational bodies of knowledge.</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1:</w:t>
      </w:r>
      <w:r w:rsidRPr="00C7259F">
        <w:rPr>
          <w:rFonts w:ascii="Arial" w:hAnsi="Arial" w:cs="Arial"/>
          <w:sz w:val="22"/>
          <w:szCs w:val="22"/>
        </w:rPr>
        <w:t xml:space="preserve"> Development of Practical Skills in Chemistry. (Year 12 and 13)</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Practical skills are embedded throughout all the content of this specification. Learners will be required to develop a range of practical skills throughout their course in preparation for the written examinations.</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2:</w:t>
      </w:r>
      <w:r w:rsidRPr="00C7259F">
        <w:rPr>
          <w:rFonts w:ascii="Arial" w:hAnsi="Arial" w:cs="Arial"/>
          <w:sz w:val="22"/>
          <w:szCs w:val="22"/>
        </w:rPr>
        <w:t xml:space="preserve"> Foundations in Chemistry. (Year 12) </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This module allows learners to develop important quantitative techniques involved in measuring masses, gas and solution volumes, including use of volumetric apparatus. Learners are also able to develop their mathematical skills during their study of amount of substance and when carrying out quantitative practical work.</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3:</w:t>
      </w:r>
      <w:r w:rsidRPr="00C7259F">
        <w:rPr>
          <w:rFonts w:ascii="Arial" w:hAnsi="Arial" w:cs="Arial"/>
          <w:sz w:val="22"/>
          <w:szCs w:val="22"/>
        </w:rPr>
        <w:t xml:space="preserve"> Periodic Table and Energy. (Year 12) </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The focus of this module is inorganic and physical chemistry, the applications of energy use to everyday life and industrial processes, and current environmental concerns associated with sustainability. The content within this module assumes knowledge and understanding of the chemical concepts developed in Module 2: Foundations in chemistry.</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4:</w:t>
      </w:r>
      <w:r w:rsidRPr="00C7259F">
        <w:rPr>
          <w:rFonts w:ascii="Arial" w:hAnsi="Arial" w:cs="Arial"/>
          <w:sz w:val="22"/>
          <w:szCs w:val="22"/>
        </w:rPr>
        <w:t xml:space="preserve"> Basic organic chemistry. (Year 12)</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This module introduces organic chemistry and its important applications to everyday life, including current environmental concerns associated with sustainability.</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5:</w:t>
      </w:r>
      <w:r w:rsidRPr="00C7259F">
        <w:rPr>
          <w:rFonts w:ascii="Arial" w:hAnsi="Arial" w:cs="Arial"/>
          <w:sz w:val="22"/>
          <w:szCs w:val="22"/>
        </w:rPr>
        <w:t xml:space="preserve"> Physical Chemistry and Transition Elements. (Year 13) </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This module extends the study of energy, reaction rates and equilibria, and the periodic table.</w:t>
      </w:r>
    </w:p>
    <w:p w:rsidR="00C7259F" w:rsidRPr="00C7259F" w:rsidRDefault="00C7259F" w:rsidP="002960C3">
      <w:pPr>
        <w:pStyle w:val="NormalWeb"/>
        <w:spacing w:before="0" w:beforeAutospacing="0" w:after="150" w:afterAutospacing="0"/>
        <w:rPr>
          <w:rFonts w:ascii="Arial" w:hAnsi="Arial" w:cs="Arial"/>
          <w:sz w:val="22"/>
          <w:szCs w:val="22"/>
        </w:rPr>
      </w:pPr>
      <w:r w:rsidRPr="002960C3">
        <w:rPr>
          <w:rFonts w:ascii="Arial" w:hAnsi="Arial" w:cs="Arial"/>
          <w:b/>
          <w:sz w:val="22"/>
          <w:szCs w:val="22"/>
        </w:rPr>
        <w:t>Module 6:</w:t>
      </w:r>
      <w:r w:rsidRPr="00C7259F">
        <w:rPr>
          <w:rFonts w:ascii="Arial" w:hAnsi="Arial" w:cs="Arial"/>
          <w:sz w:val="22"/>
          <w:szCs w:val="22"/>
        </w:rPr>
        <w:t xml:space="preserve"> Organic Chemistry and Analysis. (Year 13) </w:t>
      </w:r>
    </w:p>
    <w:p w:rsidR="00C7259F" w:rsidRPr="00C7259F" w:rsidRDefault="00C7259F" w:rsidP="002960C3">
      <w:pPr>
        <w:pStyle w:val="NormalWeb"/>
        <w:spacing w:before="0" w:beforeAutospacing="0" w:after="150" w:afterAutospacing="0"/>
        <w:rPr>
          <w:rFonts w:ascii="Arial" w:hAnsi="Arial" w:cs="Arial"/>
          <w:sz w:val="22"/>
          <w:szCs w:val="22"/>
        </w:rPr>
      </w:pPr>
      <w:r w:rsidRPr="00C7259F">
        <w:rPr>
          <w:rFonts w:ascii="Arial" w:hAnsi="Arial" w:cs="Arial"/>
          <w:sz w:val="22"/>
          <w:szCs w:val="22"/>
        </w:rPr>
        <w:t>This module introduces several new functional groups and emphasises the importance of organic synthesis. This module also adds NMR spectroscopy to the instrumentation techniques used in organic and forensic analysis.</w:t>
      </w:r>
    </w:p>
    <w:p w:rsidR="00C7259F" w:rsidRDefault="00C7259F" w:rsidP="00585BF5">
      <w:pPr>
        <w:jc w:val="both"/>
        <w:rPr>
          <w:rFonts w:ascii="Arial" w:hAnsi="Arial" w:cs="Arial"/>
          <w:b/>
          <w:color w:val="7030A0"/>
        </w:rPr>
      </w:pPr>
    </w:p>
    <w:p w:rsidR="00F06BCB" w:rsidRDefault="00F06BCB" w:rsidP="00585BF5">
      <w:pPr>
        <w:jc w:val="both"/>
        <w:rPr>
          <w:rFonts w:ascii="Arial" w:hAnsi="Arial" w:cs="Arial"/>
          <w:b/>
          <w:color w:val="7030A0"/>
          <w:sz w:val="24"/>
          <w:szCs w:val="24"/>
        </w:rPr>
      </w:pPr>
    </w:p>
    <w:p w:rsidR="00585BF5" w:rsidRPr="002960C3" w:rsidRDefault="00585BF5" w:rsidP="00585BF5">
      <w:pPr>
        <w:jc w:val="both"/>
        <w:rPr>
          <w:rFonts w:ascii="Arial" w:hAnsi="Arial" w:cs="Arial"/>
          <w:b/>
          <w:color w:val="7030A0"/>
          <w:sz w:val="24"/>
          <w:szCs w:val="24"/>
        </w:rPr>
      </w:pPr>
      <w:r w:rsidRPr="002960C3">
        <w:rPr>
          <w:rFonts w:ascii="Arial" w:hAnsi="Arial" w:cs="Arial"/>
          <w:b/>
          <w:color w:val="7030A0"/>
          <w:sz w:val="24"/>
          <w:szCs w:val="24"/>
        </w:rPr>
        <w:lastRenderedPageBreak/>
        <w:t>How will I be studying?</w:t>
      </w:r>
    </w:p>
    <w:p w:rsidR="00D914A1" w:rsidRPr="00D914A1" w:rsidRDefault="00D914A1" w:rsidP="002960C3">
      <w:pPr>
        <w:spacing w:line="240" w:lineRule="auto"/>
        <w:jc w:val="both"/>
        <w:rPr>
          <w:rFonts w:ascii="Arial" w:hAnsi="Arial" w:cs="Arial"/>
          <w:b/>
          <w:color w:val="000000" w:themeColor="text1"/>
        </w:rPr>
      </w:pPr>
      <w:r w:rsidRPr="00D914A1">
        <w:rPr>
          <w:rFonts w:ascii="Arial" w:hAnsi="Arial" w:cs="Arial"/>
          <w:color w:val="000000" w:themeColor="text1"/>
          <w:shd w:val="clear" w:color="auto" w:fill="FFFFFF"/>
        </w:rPr>
        <w:t>You will be taught with a combination of tutorials, individual work, practical sessions, independent research and independent learning and presentations to the rest of the class.</w:t>
      </w:r>
    </w:p>
    <w:p w:rsidR="00D914A1" w:rsidRPr="00585BF5" w:rsidRDefault="00D914A1" w:rsidP="002960C3">
      <w:pPr>
        <w:spacing w:line="240" w:lineRule="auto"/>
        <w:jc w:val="both"/>
        <w:rPr>
          <w:rFonts w:ascii="Arial" w:hAnsi="Arial" w:cs="Arial"/>
          <w:b/>
          <w:color w:val="7030A0"/>
        </w:rPr>
      </w:pPr>
    </w:p>
    <w:p w:rsidR="00585BF5" w:rsidRPr="002960C3" w:rsidRDefault="00585BF5" w:rsidP="00585BF5">
      <w:pPr>
        <w:jc w:val="both"/>
        <w:rPr>
          <w:rFonts w:ascii="Arial" w:hAnsi="Arial" w:cs="Arial"/>
          <w:b/>
          <w:color w:val="7030A0"/>
          <w:sz w:val="24"/>
          <w:szCs w:val="24"/>
        </w:rPr>
      </w:pPr>
      <w:r w:rsidRPr="002960C3">
        <w:rPr>
          <w:rFonts w:ascii="Arial" w:hAnsi="Arial" w:cs="Arial"/>
          <w:b/>
          <w:color w:val="7030A0"/>
          <w:sz w:val="24"/>
          <w:szCs w:val="24"/>
        </w:rPr>
        <w:t>How will I be assessed?</w:t>
      </w:r>
    </w:p>
    <w:p w:rsidR="00585BF5" w:rsidRDefault="00585BF5" w:rsidP="002960C3">
      <w:pPr>
        <w:widowControl w:val="0"/>
        <w:spacing w:line="240" w:lineRule="auto"/>
        <w:jc w:val="both"/>
        <w:rPr>
          <w:rFonts w:ascii="Arial" w:hAnsi="Arial" w:cs="Arial"/>
        </w:rPr>
      </w:pPr>
      <w:r w:rsidRPr="00585BF5">
        <w:rPr>
          <w:rFonts w:ascii="Arial" w:hAnsi="Arial" w:cs="Arial"/>
        </w:rPr>
        <w:t>Assessment is by three exams in total taken at the end of year 13. There are two exams of 2 hours 15 minutes. One covers physical and inorganic chemistry and the other deals with organic chemistry. The other 26% is from a synoptic paper embracing all aspects of chemistry. Papers 1 &amp; 2 assess content from modules 2, 3 &amp; 5 and 2, 4 &amp; 6 respectively. Paper 3 assesses content from modules 1 - 6. All three papers will have questions set based on considerations from module 1.</w:t>
      </w:r>
    </w:p>
    <w:p w:rsidR="00440184" w:rsidRDefault="008E57FE" w:rsidP="00440184">
      <w:pPr>
        <w:shd w:val="clear" w:color="auto" w:fill="FFFFFF"/>
        <w:spacing w:after="0" w:line="240"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C</w:t>
      </w:r>
      <w:r w:rsidR="00440184" w:rsidRPr="00440184">
        <w:rPr>
          <w:rFonts w:ascii="Arial" w:eastAsia="Times New Roman" w:hAnsi="Arial" w:cs="Arial"/>
          <w:b/>
          <w:bCs/>
          <w:color w:val="7030A0"/>
          <w:sz w:val="24"/>
          <w:szCs w:val="24"/>
          <w:lang w:eastAsia="en-GB"/>
        </w:rPr>
        <w:t>ore Mathematics:</w:t>
      </w:r>
    </w:p>
    <w:p w:rsidR="00440184" w:rsidRPr="00440184" w:rsidRDefault="00440184" w:rsidP="008E57FE">
      <w:pPr>
        <w:pStyle w:val="NoSpacing"/>
        <w:rPr>
          <w:lang w:eastAsia="en-GB"/>
        </w:rPr>
      </w:pPr>
    </w:p>
    <w:p w:rsidR="00440184" w:rsidRPr="00440184" w:rsidRDefault="00440184" w:rsidP="00440184">
      <w:pPr>
        <w:shd w:val="clear" w:color="auto" w:fill="FFFFFF"/>
        <w:spacing w:after="0" w:line="240" w:lineRule="auto"/>
        <w:textAlignment w:val="baseline"/>
        <w:rPr>
          <w:rFonts w:ascii="Segoe UI" w:eastAsia="Times New Roman" w:hAnsi="Segoe UI" w:cs="Segoe UI"/>
          <w:color w:val="242424"/>
          <w:sz w:val="24"/>
          <w:szCs w:val="24"/>
          <w:lang w:eastAsia="en-GB"/>
        </w:rPr>
      </w:pPr>
      <w:r w:rsidRPr="00440184">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w:t>
      </w:r>
      <w:bookmarkStart w:id="0" w:name="_GoBack"/>
      <w:bookmarkEnd w:id="0"/>
      <w:r w:rsidRPr="00440184">
        <w:rPr>
          <w:rFonts w:ascii="Arial" w:eastAsia="Times New Roman" w:hAnsi="Arial" w:cs="Arial"/>
          <w:color w:val="242424"/>
          <w:bdr w:val="none" w:sz="0" w:space="0" w:color="auto" w:frame="1"/>
          <w:lang w:eastAsia="en-GB"/>
        </w:rPr>
        <w:t>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w:t>
      </w:r>
    </w:p>
    <w:p w:rsidR="00440184" w:rsidRPr="00585BF5" w:rsidRDefault="00440184" w:rsidP="002960C3">
      <w:pPr>
        <w:widowControl w:val="0"/>
        <w:spacing w:line="240" w:lineRule="auto"/>
        <w:jc w:val="both"/>
        <w:rPr>
          <w:rFonts w:ascii="Arial" w:hAnsi="Arial" w:cs="Arial"/>
        </w:rPr>
      </w:pPr>
    </w:p>
    <w:p w:rsidR="00585BF5" w:rsidRPr="002960C3" w:rsidRDefault="00585BF5" w:rsidP="00585BF5">
      <w:pPr>
        <w:widowControl w:val="0"/>
        <w:spacing w:after="120" w:line="240" w:lineRule="auto"/>
        <w:jc w:val="both"/>
        <w:outlineLvl w:val="2"/>
        <w:rPr>
          <w:rFonts w:ascii="Arial" w:eastAsia="Times New Roman" w:hAnsi="Arial" w:cs="Arial"/>
          <w:b/>
          <w:bCs/>
          <w:color w:val="7030A0"/>
          <w:kern w:val="28"/>
          <w:sz w:val="24"/>
          <w:szCs w:val="24"/>
          <w:lang w:eastAsia="en-GB"/>
          <w14:cntxtAlts/>
        </w:rPr>
      </w:pPr>
      <w:r w:rsidRPr="002960C3">
        <w:rPr>
          <w:rFonts w:ascii="Arial" w:eastAsia="Times New Roman" w:hAnsi="Arial" w:cs="Arial"/>
          <w:b/>
          <w:bCs/>
          <w:color w:val="7030A0"/>
          <w:kern w:val="28"/>
          <w:sz w:val="24"/>
          <w:szCs w:val="24"/>
          <w:lang w:val="en-US" w:eastAsia="en-GB"/>
          <w14:cntxtAlts/>
        </w:rPr>
        <w:t>What could I go on to do after the course?</w:t>
      </w:r>
    </w:p>
    <w:p w:rsidR="00585BF5" w:rsidRPr="00585BF5" w:rsidRDefault="00585BF5" w:rsidP="002960C3">
      <w:pPr>
        <w:spacing w:line="240" w:lineRule="auto"/>
        <w:rPr>
          <w:rFonts w:ascii="Arial" w:hAnsi="Arial" w:cs="Arial"/>
        </w:rPr>
      </w:pPr>
      <w:r w:rsidRPr="00585BF5">
        <w:rPr>
          <w:rFonts w:ascii="Arial" w:hAnsi="Arial" w:cs="Arial"/>
        </w:rPr>
        <w:t xml:space="preserve">Students of A level chemistry may study chemical science or any related science or engineering course. Chemistry is essential for studying medicine, pharmacy, veterinary medicine and dentistry. </w:t>
      </w:r>
      <w:r w:rsidRPr="00585BF5">
        <w:rPr>
          <w:rFonts w:ascii="Arial" w:hAnsi="Arial" w:cs="Arial"/>
        </w:rPr>
        <w:br/>
      </w:r>
      <w:r w:rsidRPr="00585BF5">
        <w:rPr>
          <w:rFonts w:ascii="Arial" w:hAnsi="Arial" w:cs="Arial"/>
        </w:rPr>
        <w:br/>
        <w:t>It is highly regarded as a support subject for non-science subjects; in particular for entry to numerate or technical professions e.g. accounting and patent law.</w:t>
      </w:r>
    </w:p>
    <w:p w:rsidR="00AA4658" w:rsidRDefault="00AA4658" w:rsidP="002960C3">
      <w:pPr>
        <w:spacing w:line="240" w:lineRule="auto"/>
        <w:rPr>
          <w:rFonts w:ascii="Arial" w:hAnsi="Arial" w:cs="Arial"/>
          <w:b/>
          <w:sz w:val="18"/>
          <w:szCs w:val="18"/>
        </w:rPr>
      </w:pPr>
    </w:p>
    <w:sectPr w:rsidR="00AA4658"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82917"/>
    <w:rsid w:val="00217CED"/>
    <w:rsid w:val="002202CE"/>
    <w:rsid w:val="00241C84"/>
    <w:rsid w:val="002466B0"/>
    <w:rsid w:val="00246F52"/>
    <w:rsid w:val="00286523"/>
    <w:rsid w:val="002960C3"/>
    <w:rsid w:val="002B2DF2"/>
    <w:rsid w:val="003E5C7C"/>
    <w:rsid w:val="00410609"/>
    <w:rsid w:val="00440184"/>
    <w:rsid w:val="00496092"/>
    <w:rsid w:val="004B22D4"/>
    <w:rsid w:val="004C4ABC"/>
    <w:rsid w:val="005026EA"/>
    <w:rsid w:val="00585BF5"/>
    <w:rsid w:val="005901AC"/>
    <w:rsid w:val="005D2283"/>
    <w:rsid w:val="005E02DD"/>
    <w:rsid w:val="00606B07"/>
    <w:rsid w:val="006153BE"/>
    <w:rsid w:val="00692269"/>
    <w:rsid w:val="006F7319"/>
    <w:rsid w:val="007138B0"/>
    <w:rsid w:val="00731422"/>
    <w:rsid w:val="00764FA2"/>
    <w:rsid w:val="007F7894"/>
    <w:rsid w:val="008873C7"/>
    <w:rsid w:val="00896AF5"/>
    <w:rsid w:val="008A781B"/>
    <w:rsid w:val="008E46A8"/>
    <w:rsid w:val="008E57FE"/>
    <w:rsid w:val="008F3679"/>
    <w:rsid w:val="00915BBD"/>
    <w:rsid w:val="00930E1C"/>
    <w:rsid w:val="00950BC0"/>
    <w:rsid w:val="009D19F0"/>
    <w:rsid w:val="00A61C68"/>
    <w:rsid w:val="00A840EC"/>
    <w:rsid w:val="00AA4658"/>
    <w:rsid w:val="00AB10BA"/>
    <w:rsid w:val="00AF0F9E"/>
    <w:rsid w:val="00B373CE"/>
    <w:rsid w:val="00B45178"/>
    <w:rsid w:val="00BB1B21"/>
    <w:rsid w:val="00BB27E0"/>
    <w:rsid w:val="00BF608A"/>
    <w:rsid w:val="00C217A4"/>
    <w:rsid w:val="00C354D7"/>
    <w:rsid w:val="00C7259F"/>
    <w:rsid w:val="00CA2EB1"/>
    <w:rsid w:val="00D206B7"/>
    <w:rsid w:val="00D914A1"/>
    <w:rsid w:val="00D914A2"/>
    <w:rsid w:val="00DC1BE6"/>
    <w:rsid w:val="00DD2ADF"/>
    <w:rsid w:val="00E3524E"/>
    <w:rsid w:val="00E561FE"/>
    <w:rsid w:val="00EC4054"/>
    <w:rsid w:val="00EF2F7A"/>
    <w:rsid w:val="00EF6D6C"/>
    <w:rsid w:val="00F05FA4"/>
    <w:rsid w:val="00F06BCB"/>
    <w:rsid w:val="00F16A3F"/>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BF3E"/>
  <w15:docId w15:val="{EA52F9A2-027B-4670-8149-0B5ADA1F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D91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23364">
      <w:bodyDiv w:val="1"/>
      <w:marLeft w:val="0"/>
      <w:marRight w:val="0"/>
      <w:marTop w:val="0"/>
      <w:marBottom w:val="0"/>
      <w:divBdr>
        <w:top w:val="none" w:sz="0" w:space="0" w:color="auto"/>
        <w:left w:val="none" w:sz="0" w:space="0" w:color="auto"/>
        <w:bottom w:val="none" w:sz="0" w:space="0" w:color="auto"/>
        <w:right w:val="none" w:sz="0" w:space="0" w:color="auto"/>
      </w:divBdr>
      <w:divsChild>
        <w:div w:id="1539582650">
          <w:marLeft w:val="0"/>
          <w:marRight w:val="0"/>
          <w:marTop w:val="0"/>
          <w:marBottom w:val="0"/>
          <w:divBdr>
            <w:top w:val="none" w:sz="0" w:space="0" w:color="auto"/>
            <w:left w:val="none" w:sz="0" w:space="0" w:color="auto"/>
            <w:bottom w:val="none" w:sz="0" w:space="0" w:color="auto"/>
            <w:right w:val="none" w:sz="0" w:space="0" w:color="auto"/>
          </w:divBdr>
        </w:div>
      </w:divsChild>
    </w:div>
    <w:div w:id="905187417">
      <w:bodyDiv w:val="1"/>
      <w:marLeft w:val="0"/>
      <w:marRight w:val="0"/>
      <w:marTop w:val="0"/>
      <w:marBottom w:val="0"/>
      <w:divBdr>
        <w:top w:val="none" w:sz="0" w:space="0" w:color="auto"/>
        <w:left w:val="none" w:sz="0" w:space="0" w:color="auto"/>
        <w:bottom w:val="none" w:sz="0" w:space="0" w:color="auto"/>
        <w:right w:val="none" w:sz="0" w:space="0" w:color="auto"/>
      </w:divBdr>
    </w:div>
    <w:div w:id="14194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B98D-77E0-4521-9F9F-1CF8E21F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15</cp:revision>
  <cp:lastPrinted>2020-10-08T10:37:00Z</cp:lastPrinted>
  <dcterms:created xsi:type="dcterms:W3CDTF">2020-10-08T10:57:00Z</dcterms:created>
  <dcterms:modified xsi:type="dcterms:W3CDTF">2023-09-21T13:47:00Z</dcterms:modified>
</cp:coreProperties>
</file>