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E3B7" w14:textId="06D1358D" w:rsidR="007E19F0" w:rsidRDefault="008B23AC" w:rsidP="00DA65A5">
      <w:pPr>
        <w:pStyle w:val="Heading2"/>
        <w:jc w:val="center"/>
        <w:rPr>
          <w:noProof/>
        </w:rPr>
      </w:pPr>
      <w:bookmarkStart w:id="0" w:name="_Hlk71106669"/>
      <w:r w:rsidRPr="003F595E">
        <w:rPr>
          <w:rFonts w:cs="Calibri"/>
          <w:i w:val="0"/>
          <w:noProof/>
          <w:color w:val="2B579A"/>
          <w:shd w:val="clear" w:color="auto" w:fill="E6E6E6"/>
        </w:rPr>
        <w:drawing>
          <wp:anchor distT="0" distB="0" distL="114300" distR="114300" simplePos="0" relativeHeight="251659264" behindDoc="0" locked="0" layoutInCell="1" allowOverlap="1" wp14:anchorId="334008F4" wp14:editId="03356CA6">
            <wp:simplePos x="0" y="0"/>
            <wp:positionH relativeFrom="margin">
              <wp:align>center</wp:align>
            </wp:positionH>
            <wp:positionV relativeFrom="paragraph">
              <wp:posOffset>0</wp:posOffset>
            </wp:positionV>
            <wp:extent cx="3333750" cy="3333750"/>
            <wp:effectExtent l="0" t="0" r="0" b="0"/>
            <wp:wrapNone/>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333750" cy="3333750"/>
                    </a:xfrm>
                    <a:prstGeom prst="rect">
                      <a:avLst/>
                    </a:prstGeom>
                    <a:ln/>
                  </pic:spPr>
                </pic:pic>
              </a:graphicData>
            </a:graphic>
            <wp14:sizeRelH relativeFrom="page">
              <wp14:pctWidth>0</wp14:pctWidth>
            </wp14:sizeRelH>
            <wp14:sizeRelV relativeFrom="page">
              <wp14:pctHeight>0</wp14:pctHeight>
            </wp14:sizeRelV>
          </wp:anchor>
        </w:drawing>
      </w:r>
      <w:bookmarkEnd w:id="0"/>
    </w:p>
    <w:p w14:paraId="2444BF0B" w14:textId="3C8CF649" w:rsidR="00D80894" w:rsidRDefault="00D80894" w:rsidP="007E19F0"/>
    <w:p w14:paraId="7C61E17C" w14:textId="50E95A02" w:rsidR="001A0F25" w:rsidRDefault="001A0F25"/>
    <w:p w14:paraId="52143FBE" w14:textId="60A6E7D1" w:rsidR="001A0F25" w:rsidRDefault="001A0F25"/>
    <w:p w14:paraId="6DDE32DD" w14:textId="566F22FC" w:rsidR="001A0F25" w:rsidRDefault="001A0F25"/>
    <w:p w14:paraId="00523622" w14:textId="77777777" w:rsidR="001A0F25" w:rsidRDefault="001A0F25"/>
    <w:p w14:paraId="6CF374EA" w14:textId="77777777" w:rsidR="001A0F25" w:rsidRDefault="001A0F25"/>
    <w:p w14:paraId="359E31EC" w14:textId="77777777" w:rsidR="001A0F25" w:rsidRDefault="001A0F25"/>
    <w:p w14:paraId="10EDEE66" w14:textId="77777777" w:rsidR="001A0F25" w:rsidRDefault="001A0F25"/>
    <w:p w14:paraId="12DF735C" w14:textId="77777777" w:rsidR="00984FC6" w:rsidRDefault="00984FC6"/>
    <w:p w14:paraId="21593BA8" w14:textId="77777777" w:rsidR="00984FC6" w:rsidRDefault="00984FC6"/>
    <w:p w14:paraId="77526E73" w14:textId="77777777" w:rsidR="001A0F25" w:rsidRDefault="001A0F25"/>
    <w:p w14:paraId="30642A7D" w14:textId="77777777" w:rsidR="001A0F25" w:rsidRPr="008B23AC" w:rsidRDefault="001A0F25">
      <w:pPr>
        <w:rPr>
          <w:sz w:val="56"/>
          <w:szCs w:val="56"/>
        </w:rPr>
      </w:pPr>
    </w:p>
    <w:p w14:paraId="7CDE5040" w14:textId="77777777" w:rsidR="008B23AC" w:rsidRDefault="008B23AC" w:rsidP="006F0B0B">
      <w:pPr>
        <w:spacing w:before="59" w:line="532" w:lineRule="exact"/>
        <w:ind w:left="-1418" w:right="-1475"/>
        <w:jc w:val="center"/>
        <w:textAlignment w:val="baseline"/>
        <w:rPr>
          <w:rFonts w:asciiTheme="minorHAnsi" w:eastAsia="Calibri" w:hAnsiTheme="minorHAnsi" w:cstheme="minorHAnsi"/>
          <w:b/>
          <w:color w:val="000000"/>
          <w:spacing w:val="-4"/>
          <w:sz w:val="56"/>
          <w:szCs w:val="56"/>
        </w:rPr>
      </w:pPr>
    </w:p>
    <w:p w14:paraId="25857F7B" w14:textId="77777777" w:rsidR="008B23AC" w:rsidRDefault="008B23AC" w:rsidP="006F0B0B">
      <w:pPr>
        <w:spacing w:before="59" w:line="532" w:lineRule="exact"/>
        <w:ind w:left="-1418" w:right="-1475"/>
        <w:jc w:val="center"/>
        <w:textAlignment w:val="baseline"/>
        <w:rPr>
          <w:rFonts w:asciiTheme="minorHAnsi" w:eastAsia="Calibri" w:hAnsiTheme="minorHAnsi" w:cstheme="minorHAnsi"/>
          <w:b/>
          <w:color w:val="000000"/>
          <w:spacing w:val="-4"/>
          <w:sz w:val="56"/>
          <w:szCs w:val="56"/>
        </w:rPr>
      </w:pPr>
    </w:p>
    <w:p w14:paraId="76B0C9B9" w14:textId="77B99491" w:rsidR="006F0B0B" w:rsidRPr="008B23AC" w:rsidRDefault="006F0B0B" w:rsidP="006F0B0B">
      <w:pPr>
        <w:spacing w:before="59" w:line="532" w:lineRule="exact"/>
        <w:ind w:left="-1418" w:right="-1475"/>
        <w:jc w:val="center"/>
        <w:textAlignment w:val="baseline"/>
        <w:rPr>
          <w:rFonts w:asciiTheme="minorHAnsi" w:eastAsia="Calibri" w:hAnsiTheme="minorHAnsi" w:cstheme="minorHAnsi"/>
          <w:b/>
          <w:color w:val="000000"/>
          <w:spacing w:val="-4"/>
          <w:sz w:val="56"/>
          <w:szCs w:val="56"/>
        </w:rPr>
      </w:pPr>
      <w:r w:rsidRPr="008B23AC">
        <w:rPr>
          <w:rFonts w:asciiTheme="minorHAnsi" w:eastAsia="Calibri" w:hAnsiTheme="minorHAnsi" w:cstheme="minorHAnsi"/>
          <w:b/>
          <w:color w:val="000000"/>
          <w:spacing w:val="-4"/>
          <w:sz w:val="56"/>
          <w:szCs w:val="56"/>
        </w:rPr>
        <w:t>Agency Workers Regulations</w:t>
      </w:r>
    </w:p>
    <w:p w14:paraId="7737B5F0" w14:textId="77777777" w:rsidR="006F0B0B" w:rsidRPr="008B23AC" w:rsidRDefault="006F0B0B" w:rsidP="006F0B0B">
      <w:pPr>
        <w:ind w:left="-1418" w:right="-1475"/>
        <w:jc w:val="center"/>
        <w:textAlignment w:val="baseline"/>
        <w:rPr>
          <w:rFonts w:asciiTheme="minorHAnsi" w:eastAsia="Calibri" w:hAnsiTheme="minorHAnsi" w:cstheme="minorHAnsi"/>
          <w:b/>
          <w:color w:val="000000"/>
          <w:spacing w:val="-1"/>
          <w:sz w:val="56"/>
          <w:szCs w:val="56"/>
        </w:rPr>
      </w:pPr>
      <w:r w:rsidRPr="008B23AC">
        <w:rPr>
          <w:rFonts w:asciiTheme="minorHAnsi" w:eastAsia="Calibri" w:hAnsiTheme="minorHAnsi" w:cstheme="minorHAnsi"/>
          <w:b/>
          <w:color w:val="000000"/>
          <w:spacing w:val="-1"/>
          <w:sz w:val="56"/>
          <w:szCs w:val="56"/>
        </w:rPr>
        <w:t>Guidance for Schools</w:t>
      </w:r>
    </w:p>
    <w:p w14:paraId="146D65CB" w14:textId="77777777" w:rsidR="008B23AC" w:rsidRPr="008B23AC" w:rsidRDefault="008B23AC" w:rsidP="008B23AC">
      <w:pPr>
        <w:jc w:val="center"/>
        <w:textAlignment w:val="baseline"/>
        <w:rPr>
          <w:rFonts w:asciiTheme="minorHAnsi" w:hAnsiTheme="minorHAnsi" w:cstheme="minorHAnsi"/>
          <w:sz w:val="18"/>
          <w:szCs w:val="18"/>
        </w:rPr>
      </w:pPr>
      <w:r w:rsidRPr="008B23AC">
        <w:rPr>
          <w:rFonts w:asciiTheme="minorHAnsi" w:hAnsiTheme="minorHAnsi" w:cstheme="minorHAnsi"/>
        </w:rPr>
        <w:t> </w:t>
      </w:r>
      <w:r w:rsidRPr="008B23AC">
        <w:rPr>
          <w:rFonts w:asciiTheme="minorHAnsi" w:hAnsiTheme="minorHAnsi" w:cstheme="minorHAnsi"/>
          <w:i/>
          <w:iCs/>
          <w:sz w:val="32"/>
          <w:szCs w:val="32"/>
        </w:rPr>
        <w:t>(Approved &amp; Adopted from Schools HR Cooperative)</w:t>
      </w:r>
      <w:r w:rsidRPr="008B23AC">
        <w:rPr>
          <w:rFonts w:asciiTheme="minorHAnsi" w:hAnsiTheme="minorHAnsi" w:cstheme="minorHAnsi"/>
          <w:sz w:val="32"/>
          <w:szCs w:val="32"/>
        </w:rPr>
        <w:t> </w:t>
      </w:r>
    </w:p>
    <w:p w14:paraId="311E22F9" w14:textId="77777777" w:rsidR="001A0F25" w:rsidRDefault="001A0F25" w:rsidP="001A0F25"/>
    <w:p w14:paraId="5DCD5662" w14:textId="77777777" w:rsidR="00367992" w:rsidRPr="00367992" w:rsidRDefault="00367992" w:rsidP="00367992">
      <w:pPr>
        <w:jc w:val="center"/>
        <w:textAlignment w:val="baseline"/>
        <w:rPr>
          <w:rFonts w:asciiTheme="minorHAnsi" w:hAnsiTheme="minorHAnsi" w:cstheme="minorHAnsi"/>
          <w:b/>
          <w:bCs/>
          <w:color w:val="0070C0"/>
          <w:u w:val="single"/>
        </w:rPr>
      </w:pPr>
      <w:r w:rsidRPr="00367992">
        <w:rPr>
          <w:rFonts w:asciiTheme="minorHAnsi" w:hAnsiTheme="minorHAnsi" w:cstheme="minorHAnsi"/>
          <w:b/>
          <w:bCs/>
          <w:color w:val="0070C0"/>
          <w:u w:val="single"/>
        </w:rPr>
        <w:t>Mission Statement</w:t>
      </w:r>
    </w:p>
    <w:p w14:paraId="2977C857" w14:textId="77777777" w:rsidR="00367992" w:rsidRPr="00367992" w:rsidRDefault="00367992" w:rsidP="00367992">
      <w:pPr>
        <w:jc w:val="center"/>
        <w:textAlignment w:val="baseline"/>
        <w:rPr>
          <w:rFonts w:asciiTheme="minorHAnsi" w:hAnsiTheme="minorHAnsi" w:cstheme="minorHAnsi"/>
          <w:sz w:val="18"/>
          <w:szCs w:val="18"/>
        </w:rPr>
      </w:pPr>
    </w:p>
    <w:p w14:paraId="734D8A2B" w14:textId="77777777" w:rsidR="00367992" w:rsidRPr="00367992" w:rsidRDefault="00367992" w:rsidP="00367992">
      <w:pPr>
        <w:ind w:right="-30"/>
        <w:jc w:val="both"/>
        <w:textAlignment w:val="baseline"/>
        <w:rPr>
          <w:rFonts w:asciiTheme="minorHAnsi" w:hAnsiTheme="minorHAnsi" w:cstheme="minorHAnsi"/>
        </w:rPr>
      </w:pPr>
      <w:proofErr w:type="spellStart"/>
      <w:r w:rsidRPr="00367992">
        <w:rPr>
          <w:rFonts w:asciiTheme="minorHAnsi" w:hAnsiTheme="minorHAnsi" w:cstheme="minorHAnsi"/>
        </w:rPr>
        <w:t>Botwell</w:t>
      </w:r>
      <w:proofErr w:type="spellEnd"/>
      <w:r w:rsidRPr="00367992">
        <w:rPr>
          <w:rFonts w:asciiTheme="minorHAnsi" w:hAnsiTheme="minorHAnsi" w:cstheme="minorHAnsi"/>
        </w:rPr>
        <w:t xml:space="preserve"> House Catholic Primary School is distinguished by the care</w:t>
      </w:r>
      <w:bookmarkStart w:id="1" w:name="_GoBack"/>
      <w:bookmarkEnd w:id="1"/>
      <w:r w:rsidRPr="00367992">
        <w:rPr>
          <w:rFonts w:asciiTheme="minorHAnsi" w:hAnsiTheme="minorHAnsi" w:cstheme="minorHAnsi"/>
        </w:rPr>
        <w:t>, courtesy and concern extended to all its members, regardless of cultural differences and strives to follow the teachings of Jesus Christ to:</w:t>
      </w:r>
    </w:p>
    <w:p w14:paraId="00BA884A" w14:textId="77777777" w:rsidR="00367992" w:rsidRPr="00367992" w:rsidRDefault="00367992" w:rsidP="00367992">
      <w:pPr>
        <w:ind w:right="-30"/>
        <w:jc w:val="both"/>
        <w:textAlignment w:val="baseline"/>
        <w:rPr>
          <w:rFonts w:asciiTheme="minorHAnsi" w:hAnsiTheme="minorHAnsi" w:cstheme="minorHAnsi"/>
          <w:sz w:val="18"/>
          <w:szCs w:val="18"/>
        </w:rPr>
      </w:pPr>
      <w:r w:rsidRPr="00367992">
        <w:rPr>
          <w:rFonts w:asciiTheme="minorHAnsi" w:hAnsiTheme="minorHAnsi" w:cstheme="minorHAnsi"/>
        </w:rPr>
        <w:t> </w:t>
      </w:r>
    </w:p>
    <w:p w14:paraId="0F0B2B52" w14:textId="77777777" w:rsidR="00367992" w:rsidRPr="00367992" w:rsidRDefault="00367992" w:rsidP="00367992">
      <w:pPr>
        <w:jc w:val="center"/>
        <w:textAlignment w:val="baseline"/>
        <w:rPr>
          <w:rFonts w:asciiTheme="minorHAnsi" w:hAnsiTheme="minorHAnsi" w:cstheme="minorHAnsi"/>
          <w:b/>
          <w:bCs/>
          <w:i/>
          <w:iCs/>
          <w:color w:val="365F91"/>
          <w:sz w:val="28"/>
          <w:szCs w:val="28"/>
        </w:rPr>
      </w:pPr>
      <w:r w:rsidRPr="00367992">
        <w:rPr>
          <w:rFonts w:asciiTheme="minorHAnsi" w:hAnsiTheme="minorHAnsi" w:cstheme="minorHAnsi"/>
          <w:b/>
          <w:bCs/>
          <w:i/>
          <w:iCs/>
          <w:color w:val="365F91"/>
          <w:sz w:val="28"/>
          <w:szCs w:val="28"/>
        </w:rPr>
        <w:t>“Love one another as I have loved you”</w:t>
      </w:r>
    </w:p>
    <w:p w14:paraId="3A899141" w14:textId="77777777" w:rsidR="00367992" w:rsidRPr="00367992" w:rsidRDefault="00367992" w:rsidP="00367992">
      <w:pPr>
        <w:jc w:val="center"/>
        <w:textAlignment w:val="baseline"/>
        <w:rPr>
          <w:rFonts w:asciiTheme="minorHAnsi" w:hAnsiTheme="minorHAnsi" w:cstheme="minorHAnsi"/>
          <w:b/>
          <w:bCs/>
          <w:sz w:val="18"/>
          <w:szCs w:val="18"/>
        </w:rPr>
      </w:pPr>
    </w:p>
    <w:p w14:paraId="4A962CE3" w14:textId="77777777" w:rsidR="00367992" w:rsidRPr="00367992" w:rsidRDefault="00367992" w:rsidP="00367992">
      <w:pPr>
        <w:textAlignment w:val="baseline"/>
        <w:rPr>
          <w:rFonts w:asciiTheme="minorHAnsi" w:hAnsiTheme="minorHAnsi" w:cstheme="minorHAnsi"/>
          <w:sz w:val="18"/>
          <w:szCs w:val="18"/>
        </w:rPr>
      </w:pPr>
      <w:r w:rsidRPr="00367992">
        <w:rPr>
          <w:rFonts w:asciiTheme="minorHAnsi" w:hAnsiTheme="minorHAnsi" w:cstheme="minorHAnsi"/>
          <w:sz w:val="4"/>
          <w:szCs w:val="4"/>
        </w:rPr>
        <w:t> </w:t>
      </w:r>
    </w:p>
    <w:p w14:paraId="7E44E085" w14:textId="77777777" w:rsidR="00367992" w:rsidRPr="00367992" w:rsidRDefault="00367992" w:rsidP="00367992">
      <w:pPr>
        <w:ind w:right="-30"/>
        <w:jc w:val="both"/>
        <w:textAlignment w:val="baseline"/>
        <w:rPr>
          <w:rFonts w:asciiTheme="minorHAnsi" w:hAnsiTheme="minorHAnsi" w:cstheme="minorHAnsi"/>
          <w:sz w:val="18"/>
          <w:szCs w:val="18"/>
        </w:rPr>
      </w:pPr>
      <w:r w:rsidRPr="00367992">
        <w:rPr>
          <w:rFonts w:asciiTheme="minorHAnsi" w:hAnsiTheme="minorHAnsi" w:cstheme="minorHAnsi"/>
        </w:rPr>
        <w:t>Through an effective partnership between home, school and parish and through a broad and balanced curriculum, each valued individual is encouraged to grow in their journey of faith and strive towards excellence. </w:t>
      </w:r>
    </w:p>
    <w:p w14:paraId="33664946" w14:textId="77777777" w:rsidR="00367992" w:rsidRPr="00367992" w:rsidRDefault="00367992" w:rsidP="00367992">
      <w:pPr>
        <w:ind w:right="-30"/>
        <w:jc w:val="both"/>
        <w:textAlignment w:val="baseline"/>
        <w:rPr>
          <w:rFonts w:asciiTheme="minorHAnsi" w:hAnsiTheme="minorHAnsi" w:cstheme="minorHAnsi"/>
          <w:sz w:val="18"/>
          <w:szCs w:val="18"/>
        </w:rPr>
      </w:pPr>
      <w:r w:rsidRPr="00367992">
        <w:rPr>
          <w:rFonts w:asciiTheme="minorHAnsi" w:hAnsiTheme="minorHAnsi" w:cstheme="minorHAnsi"/>
        </w:rPr>
        <w:t> </w:t>
      </w:r>
    </w:p>
    <w:p w14:paraId="7615DF1D" w14:textId="77777777" w:rsidR="00367992" w:rsidRPr="00367992" w:rsidRDefault="00367992" w:rsidP="00367992">
      <w:pPr>
        <w:ind w:right="-30"/>
        <w:jc w:val="both"/>
        <w:textAlignment w:val="baseline"/>
        <w:rPr>
          <w:rFonts w:asciiTheme="minorHAnsi" w:hAnsiTheme="minorHAnsi" w:cstheme="minorHAnsi"/>
          <w:sz w:val="18"/>
          <w:szCs w:val="18"/>
        </w:rPr>
      </w:pPr>
      <w:proofErr w:type="spellStart"/>
      <w:r w:rsidRPr="00367992">
        <w:rPr>
          <w:rFonts w:asciiTheme="minorHAnsi" w:hAnsiTheme="minorHAnsi" w:cstheme="minorHAnsi"/>
        </w:rPr>
        <w:t>Botwell</w:t>
      </w:r>
      <w:proofErr w:type="spellEnd"/>
      <w:r w:rsidRPr="00367992">
        <w:rPr>
          <w:rFonts w:asciiTheme="minorHAnsi" w:hAnsiTheme="minorHAnsi" w:cstheme="minorHAnsi"/>
        </w:rPr>
        <w:t xml:space="preserve"> House Catholic Primary School seeks to ensure that all pupils receive a full-time education which maximises opportunities for each pupil to realise his/her potential. </w:t>
      </w:r>
    </w:p>
    <w:p w14:paraId="6C30771B" w14:textId="77777777" w:rsidR="001A0F25" w:rsidRPr="00367992" w:rsidRDefault="001A0F25" w:rsidP="001A0F25">
      <w:pPr>
        <w:rPr>
          <w:rFonts w:asciiTheme="minorHAnsi" w:hAnsiTheme="minorHAnsi" w:cstheme="minorHAnsi"/>
        </w:rPr>
      </w:pPr>
    </w:p>
    <w:p w14:paraId="30ADCD24" w14:textId="77777777" w:rsidR="001A0F25" w:rsidRDefault="001A0F25" w:rsidP="001A0F25"/>
    <w:p w14:paraId="17B73C3A" w14:textId="77777777" w:rsidR="00B510FE" w:rsidRDefault="00B510FE" w:rsidP="008B23AC">
      <w:pPr>
        <w:ind w:firstLine="1134"/>
      </w:pPr>
    </w:p>
    <w:p w14:paraId="5CAD03AA" w14:textId="75E73159" w:rsidR="008B23AC" w:rsidRPr="008B23AC" w:rsidRDefault="008B23AC" w:rsidP="008B23AC">
      <w:pPr>
        <w:ind w:left="834" w:firstLine="720"/>
        <w:textAlignment w:val="baseline"/>
        <w:rPr>
          <w:rFonts w:asciiTheme="minorHAnsi" w:hAnsiTheme="minorHAnsi" w:cstheme="minorHAnsi"/>
          <w:sz w:val="18"/>
          <w:szCs w:val="18"/>
        </w:rPr>
      </w:pPr>
      <w:r w:rsidRPr="008B23AC">
        <w:rPr>
          <w:rFonts w:asciiTheme="minorHAnsi" w:hAnsiTheme="minorHAnsi" w:cstheme="minorHAnsi"/>
          <w:sz w:val="28"/>
          <w:szCs w:val="28"/>
        </w:rPr>
        <w:t xml:space="preserve">Current review: </w:t>
      </w:r>
      <w:r w:rsidRPr="008B23AC">
        <w:rPr>
          <w:rFonts w:asciiTheme="minorHAnsi" w:hAnsiTheme="minorHAnsi" w:cstheme="minorHAnsi"/>
          <w:sz w:val="28"/>
          <w:szCs w:val="28"/>
        </w:rPr>
        <w:tab/>
      </w:r>
      <w:r>
        <w:rPr>
          <w:rFonts w:asciiTheme="minorHAnsi" w:hAnsiTheme="minorHAnsi" w:cstheme="minorHAnsi"/>
          <w:sz w:val="28"/>
          <w:szCs w:val="28"/>
        </w:rPr>
        <w:tab/>
      </w:r>
      <w:r w:rsidRPr="008B23AC">
        <w:rPr>
          <w:rFonts w:asciiTheme="minorHAnsi" w:hAnsiTheme="minorHAnsi" w:cstheme="minorHAnsi"/>
          <w:sz w:val="28"/>
          <w:szCs w:val="28"/>
        </w:rPr>
        <w:t>November 2024</w:t>
      </w:r>
    </w:p>
    <w:p w14:paraId="74727EC0" w14:textId="45105994" w:rsidR="008B23AC" w:rsidRPr="008B23AC" w:rsidRDefault="008B23AC" w:rsidP="008B23AC">
      <w:pPr>
        <w:ind w:left="420" w:firstLine="1134"/>
        <w:textAlignment w:val="baseline"/>
        <w:rPr>
          <w:rFonts w:asciiTheme="minorHAnsi" w:hAnsiTheme="minorHAnsi" w:cstheme="minorHAnsi"/>
          <w:sz w:val="18"/>
          <w:szCs w:val="18"/>
        </w:rPr>
      </w:pPr>
      <w:r w:rsidRPr="008B23AC">
        <w:rPr>
          <w:rFonts w:asciiTheme="minorHAnsi" w:hAnsiTheme="minorHAnsi" w:cstheme="minorHAnsi"/>
          <w:sz w:val="28"/>
          <w:szCs w:val="28"/>
        </w:rPr>
        <w:t xml:space="preserve">Date of next review:  </w:t>
      </w:r>
      <w:r>
        <w:rPr>
          <w:rFonts w:asciiTheme="minorHAnsi" w:hAnsiTheme="minorHAnsi" w:cstheme="minorHAnsi"/>
          <w:sz w:val="28"/>
          <w:szCs w:val="28"/>
        </w:rPr>
        <w:tab/>
        <w:t>Nove</w:t>
      </w:r>
      <w:r w:rsidRPr="008B23AC">
        <w:rPr>
          <w:rFonts w:asciiTheme="minorHAnsi" w:hAnsiTheme="minorHAnsi" w:cstheme="minorHAnsi"/>
          <w:sz w:val="28"/>
          <w:szCs w:val="28"/>
        </w:rPr>
        <w:t>mber 202</w:t>
      </w:r>
      <w:r>
        <w:rPr>
          <w:rFonts w:asciiTheme="minorHAnsi" w:hAnsiTheme="minorHAnsi" w:cstheme="minorHAnsi"/>
          <w:sz w:val="28"/>
          <w:szCs w:val="28"/>
        </w:rPr>
        <w:t>6</w:t>
      </w:r>
      <w:r w:rsidRPr="008B23AC">
        <w:rPr>
          <w:rFonts w:asciiTheme="minorHAnsi" w:hAnsiTheme="minorHAnsi" w:cstheme="minorHAnsi"/>
          <w:sz w:val="28"/>
          <w:szCs w:val="28"/>
        </w:rPr>
        <w:t xml:space="preserve"> *</w:t>
      </w:r>
    </w:p>
    <w:p w14:paraId="67757E77" w14:textId="77777777" w:rsidR="008B23AC" w:rsidRPr="008B23AC" w:rsidRDefault="008B23AC" w:rsidP="008B23AC">
      <w:pPr>
        <w:ind w:left="420" w:firstLine="1134"/>
        <w:textAlignment w:val="baseline"/>
        <w:rPr>
          <w:rFonts w:asciiTheme="minorHAnsi" w:hAnsiTheme="minorHAnsi" w:cstheme="minorHAnsi"/>
          <w:sz w:val="18"/>
          <w:szCs w:val="18"/>
        </w:rPr>
      </w:pPr>
      <w:r w:rsidRPr="008B23AC">
        <w:rPr>
          <w:rFonts w:asciiTheme="minorHAnsi" w:hAnsiTheme="minorHAnsi" w:cstheme="minorHAnsi"/>
          <w:sz w:val="28"/>
          <w:szCs w:val="28"/>
        </w:rPr>
        <w:t xml:space="preserve">Delegated to: </w:t>
      </w:r>
      <w:r w:rsidRPr="008B23AC">
        <w:rPr>
          <w:rFonts w:asciiTheme="minorHAnsi" w:hAnsiTheme="minorHAnsi" w:cstheme="minorHAnsi"/>
          <w:sz w:val="28"/>
          <w:szCs w:val="28"/>
        </w:rPr>
        <w:tab/>
      </w:r>
      <w:r w:rsidRPr="008B23AC">
        <w:rPr>
          <w:rFonts w:asciiTheme="minorHAnsi" w:hAnsiTheme="minorHAnsi" w:cstheme="minorHAnsi"/>
          <w:sz w:val="28"/>
          <w:szCs w:val="28"/>
        </w:rPr>
        <w:tab/>
        <w:t>FGB  </w:t>
      </w:r>
    </w:p>
    <w:p w14:paraId="218178AB" w14:textId="44C779F1" w:rsidR="008B23AC" w:rsidRPr="008B23AC" w:rsidRDefault="008B23AC" w:rsidP="008B23AC">
      <w:pPr>
        <w:ind w:left="420" w:firstLine="1134"/>
        <w:jc w:val="both"/>
        <w:textAlignment w:val="baseline"/>
        <w:rPr>
          <w:rFonts w:asciiTheme="minorHAnsi" w:hAnsiTheme="minorHAnsi" w:cstheme="minorHAnsi"/>
          <w:sz w:val="18"/>
          <w:szCs w:val="18"/>
        </w:rPr>
      </w:pPr>
      <w:r w:rsidRPr="008B23AC">
        <w:rPr>
          <w:rFonts w:asciiTheme="minorHAnsi" w:hAnsiTheme="minorHAnsi" w:cstheme="minorHAnsi"/>
          <w:sz w:val="28"/>
          <w:szCs w:val="28"/>
        </w:rPr>
        <w:t xml:space="preserve">Reviewer: </w:t>
      </w:r>
      <w:r w:rsidRPr="008B23AC">
        <w:rPr>
          <w:rFonts w:asciiTheme="minorHAnsi" w:hAnsiTheme="minorHAnsi" w:cstheme="minorHAnsi"/>
          <w:sz w:val="28"/>
          <w:szCs w:val="28"/>
        </w:rPr>
        <w:tab/>
      </w:r>
      <w:r w:rsidRPr="008B23AC">
        <w:rPr>
          <w:rFonts w:asciiTheme="minorHAnsi" w:hAnsiTheme="minorHAnsi" w:cstheme="minorHAnsi"/>
          <w:sz w:val="28"/>
          <w:szCs w:val="28"/>
        </w:rPr>
        <w:tab/>
      </w:r>
      <w:r>
        <w:rPr>
          <w:rFonts w:asciiTheme="minorHAnsi" w:hAnsiTheme="minorHAnsi" w:cstheme="minorHAnsi"/>
          <w:sz w:val="28"/>
          <w:szCs w:val="28"/>
        </w:rPr>
        <w:tab/>
      </w:r>
      <w:r w:rsidRPr="008B23AC">
        <w:rPr>
          <w:rFonts w:asciiTheme="minorHAnsi" w:hAnsiTheme="minorHAnsi" w:cstheme="minorHAnsi"/>
          <w:sz w:val="28"/>
          <w:szCs w:val="28"/>
        </w:rPr>
        <w:t>S. Yu  </w:t>
      </w:r>
    </w:p>
    <w:p w14:paraId="7EFEFF00" w14:textId="77777777" w:rsidR="008B23AC" w:rsidRPr="008B23AC" w:rsidRDefault="008B23AC" w:rsidP="008B23AC">
      <w:pPr>
        <w:jc w:val="center"/>
        <w:rPr>
          <w:rFonts w:asciiTheme="minorHAnsi" w:eastAsiaTheme="minorHAnsi" w:hAnsiTheme="minorHAnsi" w:cstheme="minorHAnsi"/>
        </w:rPr>
      </w:pPr>
    </w:p>
    <w:p w14:paraId="17899CC3" w14:textId="77777777" w:rsidR="008B23AC" w:rsidRPr="008B23AC" w:rsidRDefault="008B23AC" w:rsidP="008B23AC">
      <w:pPr>
        <w:jc w:val="center"/>
        <w:rPr>
          <w:rFonts w:asciiTheme="minorHAnsi" w:eastAsiaTheme="minorHAnsi" w:hAnsiTheme="minorHAnsi" w:cstheme="minorHAnsi"/>
        </w:rPr>
      </w:pPr>
    </w:p>
    <w:p w14:paraId="154F9EC3" w14:textId="1568CF26" w:rsidR="008B23AC" w:rsidRPr="008B23AC" w:rsidRDefault="008B23AC" w:rsidP="008B23AC">
      <w:pPr>
        <w:rPr>
          <w:rFonts w:asciiTheme="minorHAnsi" w:eastAsiaTheme="minorHAnsi" w:hAnsiTheme="minorHAnsi" w:cstheme="minorHAnsi"/>
          <w:b/>
          <w:i/>
        </w:rPr>
      </w:pPr>
      <w:r w:rsidRPr="008B23AC">
        <w:rPr>
          <w:rFonts w:asciiTheme="minorHAnsi" w:eastAsiaTheme="minorHAnsi" w:hAnsiTheme="minorHAnsi" w:cstheme="minorHAnsi"/>
          <w:b/>
          <w:i/>
        </w:rPr>
        <w:t xml:space="preserve">*This </w:t>
      </w:r>
      <w:r>
        <w:rPr>
          <w:rFonts w:asciiTheme="minorHAnsi" w:eastAsiaTheme="minorHAnsi" w:hAnsiTheme="minorHAnsi" w:cstheme="minorHAnsi"/>
          <w:b/>
          <w:i/>
        </w:rPr>
        <w:t xml:space="preserve">guidance </w:t>
      </w:r>
      <w:r w:rsidRPr="008B23AC">
        <w:rPr>
          <w:rFonts w:asciiTheme="minorHAnsi" w:eastAsiaTheme="minorHAnsi" w:hAnsiTheme="minorHAnsi" w:cstheme="minorHAnsi"/>
          <w:b/>
          <w:i/>
        </w:rPr>
        <w:t>will be subject to ongoing review and may be amended prior to the scheduled date of the next review in order to reflect changes in legislation where appropriate</w:t>
      </w:r>
    </w:p>
    <w:p w14:paraId="49ACB3BD" w14:textId="77777777" w:rsidR="00B510FE" w:rsidRDefault="00B510FE" w:rsidP="001A0F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726"/>
        <w:gridCol w:w="880"/>
      </w:tblGrid>
      <w:tr w:rsidR="002D6FC0" w:rsidRPr="00E65B03" w14:paraId="5B153C55" w14:textId="77777777" w:rsidTr="00B510FE">
        <w:trPr>
          <w:trHeight w:val="397"/>
        </w:trPr>
        <w:tc>
          <w:tcPr>
            <w:tcW w:w="783" w:type="pct"/>
            <w:shd w:val="clear" w:color="auto" w:fill="D9D9D9" w:themeFill="background1" w:themeFillShade="D9"/>
            <w:vAlign w:val="center"/>
          </w:tcPr>
          <w:p w14:paraId="1C18C942" w14:textId="052DEE88" w:rsidR="002D6FC0" w:rsidRPr="00E65B03" w:rsidRDefault="00F451D0" w:rsidP="008617CC">
            <w:pPr>
              <w:jc w:val="center"/>
              <w:rPr>
                <w:rFonts w:ascii="Aptos" w:hAnsi="Aptos" w:cstheme="minorHAnsi"/>
                <w:b/>
                <w:sz w:val="22"/>
                <w:szCs w:val="22"/>
              </w:rPr>
            </w:pPr>
            <w:r>
              <w:br w:type="page"/>
            </w:r>
            <w:bookmarkStart w:id="2" w:name="_Hlk66863865"/>
            <w:r w:rsidR="002D6FC0" w:rsidRPr="00E65B03">
              <w:rPr>
                <w:rFonts w:ascii="Aptos" w:hAnsi="Aptos" w:cstheme="minorHAnsi"/>
                <w:b/>
                <w:sz w:val="22"/>
                <w:szCs w:val="22"/>
              </w:rPr>
              <w:t>Section</w:t>
            </w:r>
          </w:p>
        </w:tc>
        <w:tc>
          <w:tcPr>
            <w:tcW w:w="3729" w:type="pct"/>
            <w:shd w:val="clear" w:color="auto" w:fill="D9D9D9" w:themeFill="background1" w:themeFillShade="D9"/>
            <w:vAlign w:val="center"/>
          </w:tcPr>
          <w:p w14:paraId="7DEDAE0F" w14:textId="77777777" w:rsidR="002D6FC0" w:rsidRPr="00E65B03" w:rsidRDefault="008238BD" w:rsidP="0075249E">
            <w:pPr>
              <w:jc w:val="center"/>
              <w:rPr>
                <w:rFonts w:ascii="Aptos" w:hAnsi="Aptos" w:cstheme="minorHAnsi"/>
                <w:b/>
                <w:sz w:val="22"/>
                <w:szCs w:val="22"/>
              </w:rPr>
            </w:pPr>
            <w:r w:rsidRPr="00E65B03">
              <w:rPr>
                <w:rFonts w:ascii="Aptos" w:hAnsi="Aptos" w:cstheme="minorHAnsi"/>
                <w:b/>
                <w:sz w:val="22"/>
                <w:szCs w:val="22"/>
              </w:rPr>
              <w:t>Contents</w:t>
            </w:r>
          </w:p>
        </w:tc>
        <w:tc>
          <w:tcPr>
            <w:tcW w:w="488" w:type="pct"/>
            <w:shd w:val="clear" w:color="auto" w:fill="D9D9D9" w:themeFill="background1" w:themeFillShade="D9"/>
            <w:vAlign w:val="center"/>
          </w:tcPr>
          <w:p w14:paraId="223B616C" w14:textId="77777777" w:rsidR="002D6FC0" w:rsidRPr="00E65B03" w:rsidRDefault="002D6FC0" w:rsidP="008617CC">
            <w:pPr>
              <w:jc w:val="center"/>
              <w:rPr>
                <w:rFonts w:ascii="Aptos" w:hAnsi="Aptos" w:cstheme="minorHAnsi"/>
                <w:b/>
                <w:sz w:val="22"/>
                <w:szCs w:val="22"/>
              </w:rPr>
            </w:pPr>
            <w:r w:rsidRPr="00E65B03">
              <w:rPr>
                <w:rFonts w:ascii="Aptos" w:hAnsi="Aptos" w:cstheme="minorHAnsi"/>
                <w:b/>
                <w:sz w:val="22"/>
                <w:szCs w:val="22"/>
              </w:rPr>
              <w:t>Page</w:t>
            </w:r>
          </w:p>
        </w:tc>
      </w:tr>
      <w:tr w:rsidR="006F0B0B" w:rsidRPr="00E65B03" w14:paraId="4216CB3E" w14:textId="77777777" w:rsidTr="00F53248">
        <w:trPr>
          <w:trHeight w:val="454"/>
        </w:trPr>
        <w:tc>
          <w:tcPr>
            <w:tcW w:w="783" w:type="pct"/>
            <w:shd w:val="clear" w:color="auto" w:fill="auto"/>
            <w:vAlign w:val="center"/>
          </w:tcPr>
          <w:p w14:paraId="58B86963"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1.</w:t>
            </w:r>
          </w:p>
        </w:tc>
        <w:tc>
          <w:tcPr>
            <w:tcW w:w="3729" w:type="pct"/>
            <w:shd w:val="clear" w:color="auto" w:fill="auto"/>
            <w:vAlign w:val="center"/>
          </w:tcPr>
          <w:p w14:paraId="35AFD302" w14:textId="04607AE9"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Introduction</w:t>
            </w:r>
          </w:p>
        </w:tc>
        <w:tc>
          <w:tcPr>
            <w:tcW w:w="488" w:type="pct"/>
            <w:shd w:val="clear" w:color="auto" w:fill="auto"/>
            <w:vAlign w:val="center"/>
          </w:tcPr>
          <w:p w14:paraId="353EB79D" w14:textId="30E34F59" w:rsidR="006F0B0B" w:rsidRPr="00E65B03" w:rsidRDefault="00FA758B" w:rsidP="006F0B0B">
            <w:pPr>
              <w:jc w:val="center"/>
              <w:rPr>
                <w:rFonts w:ascii="Aptos" w:hAnsi="Aptos" w:cstheme="minorHAnsi"/>
                <w:b/>
                <w:sz w:val="22"/>
                <w:szCs w:val="22"/>
              </w:rPr>
            </w:pPr>
            <w:r w:rsidRPr="00E65B03">
              <w:rPr>
                <w:rFonts w:ascii="Aptos" w:eastAsia="Calibri" w:hAnsi="Aptos" w:cstheme="minorHAnsi"/>
                <w:b/>
                <w:color w:val="000000"/>
                <w:sz w:val="22"/>
                <w:szCs w:val="22"/>
              </w:rPr>
              <w:t>3</w:t>
            </w:r>
          </w:p>
        </w:tc>
      </w:tr>
      <w:tr w:rsidR="006F0B0B" w:rsidRPr="00E65B03" w14:paraId="73FD0C86" w14:textId="77777777" w:rsidTr="00F53248">
        <w:trPr>
          <w:trHeight w:val="454"/>
        </w:trPr>
        <w:tc>
          <w:tcPr>
            <w:tcW w:w="783" w:type="pct"/>
            <w:shd w:val="clear" w:color="auto" w:fill="auto"/>
            <w:vAlign w:val="center"/>
          </w:tcPr>
          <w:p w14:paraId="7F7FCEC1"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2.</w:t>
            </w:r>
          </w:p>
        </w:tc>
        <w:tc>
          <w:tcPr>
            <w:tcW w:w="3729" w:type="pct"/>
            <w:shd w:val="clear" w:color="auto" w:fill="auto"/>
            <w:vAlign w:val="center"/>
          </w:tcPr>
          <w:p w14:paraId="652BBC05" w14:textId="1D16755F"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 xml:space="preserve">Day 1 Rights for all </w:t>
            </w:r>
            <w:r w:rsidR="008E2E37" w:rsidRPr="00E65B03">
              <w:rPr>
                <w:rFonts w:ascii="Aptos" w:eastAsia="Calibri" w:hAnsi="Aptos" w:cstheme="minorHAnsi"/>
                <w:b/>
                <w:color w:val="000000"/>
                <w:sz w:val="22"/>
                <w:szCs w:val="22"/>
              </w:rPr>
              <w:t>A</w:t>
            </w:r>
            <w:r w:rsidRPr="00E65B03">
              <w:rPr>
                <w:rFonts w:ascii="Aptos" w:eastAsia="Calibri" w:hAnsi="Aptos" w:cstheme="minorHAnsi"/>
                <w:b/>
                <w:color w:val="000000"/>
                <w:sz w:val="22"/>
                <w:szCs w:val="22"/>
              </w:rPr>
              <w:t>gency Workers</w:t>
            </w:r>
          </w:p>
        </w:tc>
        <w:tc>
          <w:tcPr>
            <w:tcW w:w="488" w:type="pct"/>
            <w:shd w:val="clear" w:color="auto" w:fill="auto"/>
            <w:vAlign w:val="center"/>
          </w:tcPr>
          <w:p w14:paraId="59D8FA09" w14:textId="78B440FC" w:rsidR="006F0B0B" w:rsidRPr="00E65B03" w:rsidRDefault="00FA758B" w:rsidP="006F0B0B">
            <w:pPr>
              <w:jc w:val="center"/>
              <w:rPr>
                <w:rFonts w:ascii="Aptos" w:hAnsi="Aptos" w:cstheme="minorHAnsi"/>
                <w:b/>
                <w:sz w:val="22"/>
                <w:szCs w:val="22"/>
              </w:rPr>
            </w:pPr>
            <w:r w:rsidRPr="00E65B03">
              <w:rPr>
                <w:rFonts w:ascii="Aptos" w:eastAsia="Calibri" w:hAnsi="Aptos" w:cstheme="minorHAnsi"/>
                <w:b/>
                <w:color w:val="000000"/>
                <w:sz w:val="22"/>
                <w:szCs w:val="22"/>
              </w:rPr>
              <w:t>3</w:t>
            </w:r>
          </w:p>
        </w:tc>
      </w:tr>
      <w:tr w:rsidR="006F0B0B" w:rsidRPr="00E65B03" w14:paraId="6EED71FA" w14:textId="77777777" w:rsidTr="00F53248">
        <w:trPr>
          <w:trHeight w:val="454"/>
        </w:trPr>
        <w:tc>
          <w:tcPr>
            <w:tcW w:w="783" w:type="pct"/>
            <w:shd w:val="clear" w:color="auto" w:fill="auto"/>
            <w:vAlign w:val="center"/>
          </w:tcPr>
          <w:p w14:paraId="4DD6680A"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3.</w:t>
            </w:r>
          </w:p>
        </w:tc>
        <w:tc>
          <w:tcPr>
            <w:tcW w:w="3729" w:type="pct"/>
            <w:shd w:val="clear" w:color="auto" w:fill="auto"/>
            <w:vAlign w:val="center"/>
          </w:tcPr>
          <w:p w14:paraId="35622F1C" w14:textId="013F7A5E"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 xml:space="preserve">Rights after 12 weeks in </w:t>
            </w:r>
            <w:r w:rsidR="008E2E37" w:rsidRPr="00E65B03">
              <w:rPr>
                <w:rFonts w:ascii="Aptos" w:eastAsia="Calibri" w:hAnsi="Aptos" w:cstheme="minorHAnsi"/>
                <w:b/>
                <w:color w:val="000000"/>
                <w:sz w:val="22"/>
                <w:szCs w:val="22"/>
              </w:rPr>
              <w:t xml:space="preserve">the </w:t>
            </w:r>
            <w:r w:rsidRPr="00E65B03">
              <w:rPr>
                <w:rFonts w:ascii="Aptos" w:eastAsia="Calibri" w:hAnsi="Aptos" w:cstheme="minorHAnsi"/>
                <w:b/>
                <w:color w:val="000000"/>
                <w:sz w:val="22"/>
                <w:szCs w:val="22"/>
              </w:rPr>
              <w:t>same job with same hirer</w:t>
            </w:r>
          </w:p>
        </w:tc>
        <w:tc>
          <w:tcPr>
            <w:tcW w:w="488" w:type="pct"/>
            <w:shd w:val="clear" w:color="auto" w:fill="auto"/>
            <w:vAlign w:val="center"/>
          </w:tcPr>
          <w:p w14:paraId="12B61918" w14:textId="1D6CB8D8" w:rsidR="006F0B0B" w:rsidRPr="00E65B03" w:rsidRDefault="00FA758B" w:rsidP="006F0B0B">
            <w:pPr>
              <w:jc w:val="center"/>
              <w:rPr>
                <w:rFonts w:ascii="Aptos" w:hAnsi="Aptos" w:cstheme="minorHAnsi"/>
                <w:b/>
                <w:sz w:val="22"/>
                <w:szCs w:val="22"/>
              </w:rPr>
            </w:pPr>
            <w:r w:rsidRPr="00E65B03">
              <w:rPr>
                <w:rFonts w:ascii="Aptos" w:eastAsia="Calibri" w:hAnsi="Aptos" w:cstheme="minorHAnsi"/>
                <w:b/>
                <w:color w:val="000000"/>
                <w:sz w:val="22"/>
                <w:szCs w:val="22"/>
              </w:rPr>
              <w:t>4</w:t>
            </w:r>
          </w:p>
        </w:tc>
      </w:tr>
      <w:tr w:rsidR="006F0B0B" w:rsidRPr="00E65B03" w14:paraId="4AC50CF4" w14:textId="77777777" w:rsidTr="00F53248">
        <w:trPr>
          <w:trHeight w:val="454"/>
        </w:trPr>
        <w:tc>
          <w:tcPr>
            <w:tcW w:w="783" w:type="pct"/>
            <w:shd w:val="clear" w:color="auto" w:fill="auto"/>
            <w:vAlign w:val="center"/>
          </w:tcPr>
          <w:p w14:paraId="263A6FDE"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4.</w:t>
            </w:r>
          </w:p>
        </w:tc>
        <w:tc>
          <w:tcPr>
            <w:tcW w:w="3729" w:type="pct"/>
            <w:shd w:val="clear" w:color="auto" w:fill="auto"/>
            <w:vAlign w:val="center"/>
          </w:tcPr>
          <w:p w14:paraId="2AE26ECB" w14:textId="3DB0C4F9"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Calculating the 12 week qualifying period</w:t>
            </w:r>
          </w:p>
        </w:tc>
        <w:tc>
          <w:tcPr>
            <w:tcW w:w="488" w:type="pct"/>
            <w:shd w:val="clear" w:color="auto" w:fill="auto"/>
            <w:vAlign w:val="center"/>
          </w:tcPr>
          <w:p w14:paraId="4BC11EBD" w14:textId="55AEA805" w:rsidR="006F0B0B" w:rsidRPr="00E65B03" w:rsidRDefault="00FA758B" w:rsidP="006F0B0B">
            <w:pPr>
              <w:jc w:val="center"/>
              <w:rPr>
                <w:rFonts w:ascii="Aptos" w:hAnsi="Aptos" w:cstheme="minorHAnsi"/>
                <w:b/>
                <w:sz w:val="22"/>
                <w:szCs w:val="22"/>
              </w:rPr>
            </w:pPr>
            <w:r w:rsidRPr="00E65B03">
              <w:rPr>
                <w:rFonts w:ascii="Aptos" w:eastAsia="Calibri" w:hAnsi="Aptos" w:cstheme="minorHAnsi"/>
                <w:b/>
                <w:color w:val="000000"/>
                <w:sz w:val="22"/>
                <w:szCs w:val="22"/>
              </w:rPr>
              <w:t>5</w:t>
            </w:r>
          </w:p>
        </w:tc>
      </w:tr>
      <w:tr w:rsidR="006F0B0B" w:rsidRPr="00E65B03" w14:paraId="1B2BA80B" w14:textId="77777777" w:rsidTr="00F53248">
        <w:trPr>
          <w:trHeight w:val="454"/>
        </w:trPr>
        <w:tc>
          <w:tcPr>
            <w:tcW w:w="783" w:type="pct"/>
            <w:shd w:val="clear" w:color="auto" w:fill="auto"/>
            <w:vAlign w:val="center"/>
          </w:tcPr>
          <w:p w14:paraId="048ED3BF"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5.</w:t>
            </w:r>
          </w:p>
        </w:tc>
        <w:tc>
          <w:tcPr>
            <w:tcW w:w="3729" w:type="pct"/>
            <w:shd w:val="clear" w:color="auto" w:fill="auto"/>
            <w:vAlign w:val="center"/>
          </w:tcPr>
          <w:p w14:paraId="765DF776" w14:textId="418147E5"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Accrual of the 12 week qualifying period</w:t>
            </w:r>
          </w:p>
        </w:tc>
        <w:tc>
          <w:tcPr>
            <w:tcW w:w="488" w:type="pct"/>
            <w:shd w:val="clear" w:color="auto" w:fill="auto"/>
            <w:vAlign w:val="center"/>
          </w:tcPr>
          <w:p w14:paraId="0DEB6919" w14:textId="03E53C7C" w:rsidR="006F0B0B" w:rsidRPr="00E65B03" w:rsidRDefault="00FA758B" w:rsidP="006F0B0B">
            <w:pPr>
              <w:jc w:val="center"/>
              <w:rPr>
                <w:rFonts w:ascii="Aptos" w:hAnsi="Aptos" w:cstheme="minorHAnsi"/>
                <w:b/>
                <w:sz w:val="22"/>
                <w:szCs w:val="22"/>
              </w:rPr>
            </w:pPr>
            <w:r w:rsidRPr="00E65B03">
              <w:rPr>
                <w:rFonts w:ascii="Aptos" w:eastAsia="Calibri" w:hAnsi="Aptos" w:cstheme="minorHAnsi"/>
                <w:b/>
                <w:color w:val="000000"/>
                <w:sz w:val="22"/>
                <w:szCs w:val="22"/>
              </w:rPr>
              <w:t>5</w:t>
            </w:r>
          </w:p>
        </w:tc>
      </w:tr>
      <w:tr w:rsidR="006F0B0B" w:rsidRPr="00E65B03" w14:paraId="2C818892" w14:textId="77777777" w:rsidTr="00F53248">
        <w:trPr>
          <w:trHeight w:val="454"/>
        </w:trPr>
        <w:tc>
          <w:tcPr>
            <w:tcW w:w="783" w:type="pct"/>
            <w:shd w:val="clear" w:color="auto" w:fill="auto"/>
            <w:vAlign w:val="center"/>
          </w:tcPr>
          <w:p w14:paraId="74DA7E2B"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6.</w:t>
            </w:r>
          </w:p>
        </w:tc>
        <w:tc>
          <w:tcPr>
            <w:tcW w:w="3729" w:type="pct"/>
            <w:shd w:val="clear" w:color="auto" w:fill="auto"/>
            <w:vAlign w:val="center"/>
          </w:tcPr>
          <w:p w14:paraId="7D271F18" w14:textId="17AFE1F4"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The Qualifying Clock</w:t>
            </w:r>
          </w:p>
        </w:tc>
        <w:tc>
          <w:tcPr>
            <w:tcW w:w="488" w:type="pct"/>
            <w:shd w:val="clear" w:color="auto" w:fill="auto"/>
            <w:vAlign w:val="center"/>
          </w:tcPr>
          <w:p w14:paraId="60E0D613" w14:textId="2859C2AB" w:rsidR="006F0B0B" w:rsidRPr="00E65B03" w:rsidRDefault="00FA758B" w:rsidP="006F0B0B">
            <w:pPr>
              <w:jc w:val="center"/>
              <w:rPr>
                <w:rFonts w:ascii="Aptos" w:hAnsi="Aptos" w:cstheme="minorHAnsi"/>
                <w:b/>
                <w:sz w:val="22"/>
                <w:szCs w:val="22"/>
              </w:rPr>
            </w:pPr>
            <w:r w:rsidRPr="00E65B03">
              <w:rPr>
                <w:rFonts w:ascii="Aptos" w:eastAsia="Calibri" w:hAnsi="Aptos" w:cstheme="minorHAnsi"/>
                <w:b/>
                <w:color w:val="000000"/>
                <w:sz w:val="22"/>
                <w:szCs w:val="22"/>
              </w:rPr>
              <w:t>5</w:t>
            </w:r>
          </w:p>
        </w:tc>
      </w:tr>
      <w:tr w:rsidR="006F0B0B" w:rsidRPr="00E65B03" w14:paraId="0CE9618C" w14:textId="77777777" w:rsidTr="00F53248">
        <w:trPr>
          <w:trHeight w:val="454"/>
        </w:trPr>
        <w:tc>
          <w:tcPr>
            <w:tcW w:w="783" w:type="pct"/>
            <w:shd w:val="clear" w:color="auto" w:fill="auto"/>
            <w:vAlign w:val="center"/>
          </w:tcPr>
          <w:p w14:paraId="00611193"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7.</w:t>
            </w:r>
          </w:p>
        </w:tc>
        <w:tc>
          <w:tcPr>
            <w:tcW w:w="3729" w:type="pct"/>
            <w:shd w:val="clear" w:color="auto" w:fill="auto"/>
            <w:vAlign w:val="center"/>
          </w:tcPr>
          <w:p w14:paraId="26EBE149" w14:textId="517C053D"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Anti-Avoidance Provision</w:t>
            </w:r>
          </w:p>
        </w:tc>
        <w:tc>
          <w:tcPr>
            <w:tcW w:w="488" w:type="pct"/>
            <w:shd w:val="clear" w:color="auto" w:fill="auto"/>
            <w:vAlign w:val="center"/>
          </w:tcPr>
          <w:p w14:paraId="422E7FCB" w14:textId="5345C0BA" w:rsidR="006F0B0B" w:rsidRPr="00E65B03" w:rsidRDefault="00FA758B" w:rsidP="006F0B0B">
            <w:pPr>
              <w:jc w:val="center"/>
              <w:rPr>
                <w:rFonts w:ascii="Aptos" w:hAnsi="Aptos" w:cstheme="minorHAnsi"/>
                <w:b/>
                <w:sz w:val="22"/>
                <w:szCs w:val="22"/>
              </w:rPr>
            </w:pPr>
            <w:r w:rsidRPr="00E65B03">
              <w:rPr>
                <w:rFonts w:ascii="Aptos" w:hAnsi="Aptos" w:cstheme="minorHAnsi"/>
                <w:b/>
                <w:sz w:val="22"/>
                <w:szCs w:val="22"/>
              </w:rPr>
              <w:t>6</w:t>
            </w:r>
          </w:p>
        </w:tc>
      </w:tr>
      <w:tr w:rsidR="006F0B0B" w:rsidRPr="00E65B03" w14:paraId="12AAD659" w14:textId="77777777" w:rsidTr="00F53248">
        <w:trPr>
          <w:trHeight w:val="454"/>
        </w:trPr>
        <w:tc>
          <w:tcPr>
            <w:tcW w:w="783" w:type="pct"/>
            <w:shd w:val="clear" w:color="auto" w:fill="auto"/>
            <w:vAlign w:val="center"/>
          </w:tcPr>
          <w:p w14:paraId="704FE051"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8.</w:t>
            </w:r>
          </w:p>
        </w:tc>
        <w:tc>
          <w:tcPr>
            <w:tcW w:w="3729" w:type="pct"/>
            <w:shd w:val="clear" w:color="auto" w:fill="auto"/>
            <w:vAlign w:val="center"/>
          </w:tcPr>
          <w:p w14:paraId="435D86ED" w14:textId="1DE1C676"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To comply with the Regulations</w:t>
            </w:r>
          </w:p>
        </w:tc>
        <w:tc>
          <w:tcPr>
            <w:tcW w:w="488" w:type="pct"/>
            <w:shd w:val="clear" w:color="auto" w:fill="auto"/>
            <w:vAlign w:val="center"/>
          </w:tcPr>
          <w:p w14:paraId="760E038B" w14:textId="6BBECA00" w:rsidR="006F0B0B" w:rsidRPr="00E65B03" w:rsidRDefault="00C02331" w:rsidP="006F0B0B">
            <w:pPr>
              <w:jc w:val="center"/>
              <w:rPr>
                <w:rFonts w:ascii="Aptos" w:hAnsi="Aptos" w:cstheme="minorHAnsi"/>
                <w:b/>
                <w:sz w:val="22"/>
                <w:szCs w:val="22"/>
              </w:rPr>
            </w:pPr>
            <w:r>
              <w:rPr>
                <w:rFonts w:ascii="Aptos" w:hAnsi="Aptos" w:cstheme="minorHAnsi"/>
                <w:b/>
                <w:sz w:val="22"/>
                <w:szCs w:val="22"/>
              </w:rPr>
              <w:t>7</w:t>
            </w:r>
          </w:p>
        </w:tc>
      </w:tr>
      <w:tr w:rsidR="006F0B0B" w:rsidRPr="00E65B03" w14:paraId="601C9D13" w14:textId="77777777" w:rsidTr="00F53248">
        <w:trPr>
          <w:trHeight w:val="454"/>
        </w:trPr>
        <w:tc>
          <w:tcPr>
            <w:tcW w:w="783" w:type="pct"/>
            <w:shd w:val="clear" w:color="auto" w:fill="auto"/>
            <w:vAlign w:val="center"/>
          </w:tcPr>
          <w:p w14:paraId="3EEDC8B5"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9.</w:t>
            </w:r>
          </w:p>
        </w:tc>
        <w:tc>
          <w:tcPr>
            <w:tcW w:w="3729" w:type="pct"/>
            <w:shd w:val="clear" w:color="auto" w:fill="auto"/>
            <w:vAlign w:val="center"/>
          </w:tcPr>
          <w:p w14:paraId="4339A052" w14:textId="79875369"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Agency Worker - Raising concerns about treatment</w:t>
            </w:r>
          </w:p>
        </w:tc>
        <w:tc>
          <w:tcPr>
            <w:tcW w:w="488" w:type="pct"/>
            <w:shd w:val="clear" w:color="auto" w:fill="auto"/>
            <w:vAlign w:val="center"/>
          </w:tcPr>
          <w:p w14:paraId="14C83818" w14:textId="7BE676AA" w:rsidR="006F0B0B" w:rsidRPr="00E65B03" w:rsidRDefault="00311963" w:rsidP="006F0B0B">
            <w:pPr>
              <w:jc w:val="center"/>
              <w:rPr>
                <w:rFonts w:ascii="Aptos" w:hAnsi="Aptos" w:cstheme="minorHAnsi"/>
                <w:b/>
                <w:sz w:val="22"/>
                <w:szCs w:val="22"/>
              </w:rPr>
            </w:pPr>
            <w:r>
              <w:rPr>
                <w:rFonts w:ascii="Aptos" w:hAnsi="Aptos" w:cstheme="minorHAnsi"/>
                <w:b/>
                <w:sz w:val="22"/>
                <w:szCs w:val="22"/>
              </w:rPr>
              <w:t>8</w:t>
            </w:r>
          </w:p>
        </w:tc>
      </w:tr>
      <w:tr w:rsidR="006F0B0B" w:rsidRPr="00E65B03" w14:paraId="77568D76" w14:textId="77777777" w:rsidTr="00F53248">
        <w:trPr>
          <w:trHeight w:val="454"/>
        </w:trPr>
        <w:tc>
          <w:tcPr>
            <w:tcW w:w="783" w:type="pct"/>
            <w:shd w:val="clear" w:color="auto" w:fill="auto"/>
            <w:vAlign w:val="center"/>
          </w:tcPr>
          <w:p w14:paraId="44C2D01F" w14:textId="77777777" w:rsidR="006F0B0B" w:rsidRPr="00E65B03" w:rsidRDefault="006F0B0B" w:rsidP="006F0B0B">
            <w:pPr>
              <w:jc w:val="center"/>
              <w:rPr>
                <w:rFonts w:ascii="Aptos" w:hAnsi="Aptos" w:cstheme="minorHAnsi"/>
                <w:b/>
                <w:sz w:val="22"/>
                <w:szCs w:val="22"/>
              </w:rPr>
            </w:pPr>
            <w:r w:rsidRPr="00E65B03">
              <w:rPr>
                <w:rFonts w:ascii="Aptos" w:hAnsi="Aptos" w:cstheme="minorHAnsi"/>
                <w:b/>
                <w:sz w:val="22"/>
                <w:szCs w:val="22"/>
              </w:rPr>
              <w:t>10.</w:t>
            </w:r>
          </w:p>
        </w:tc>
        <w:tc>
          <w:tcPr>
            <w:tcW w:w="3729" w:type="pct"/>
            <w:shd w:val="clear" w:color="auto" w:fill="auto"/>
            <w:vAlign w:val="center"/>
          </w:tcPr>
          <w:p w14:paraId="00B71686" w14:textId="5797EC56"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Additional Guidance</w:t>
            </w:r>
          </w:p>
        </w:tc>
        <w:tc>
          <w:tcPr>
            <w:tcW w:w="488" w:type="pct"/>
            <w:shd w:val="clear" w:color="auto" w:fill="auto"/>
            <w:vAlign w:val="center"/>
          </w:tcPr>
          <w:p w14:paraId="0AE7BD51" w14:textId="0DA7882C" w:rsidR="006F0B0B" w:rsidRPr="00E65B03" w:rsidRDefault="00FA758B" w:rsidP="006F0B0B">
            <w:pPr>
              <w:jc w:val="center"/>
              <w:rPr>
                <w:rFonts w:ascii="Aptos" w:hAnsi="Aptos" w:cstheme="minorHAnsi"/>
                <w:b/>
                <w:sz w:val="22"/>
                <w:szCs w:val="22"/>
              </w:rPr>
            </w:pPr>
            <w:r w:rsidRPr="00E65B03">
              <w:rPr>
                <w:rFonts w:ascii="Aptos" w:hAnsi="Aptos" w:cstheme="minorHAnsi"/>
                <w:b/>
                <w:sz w:val="22"/>
                <w:szCs w:val="22"/>
              </w:rPr>
              <w:t>8</w:t>
            </w:r>
          </w:p>
        </w:tc>
      </w:tr>
      <w:tr w:rsidR="006F0B0B" w:rsidRPr="00E65B03" w14:paraId="032CA70A" w14:textId="77777777" w:rsidTr="00F53248">
        <w:trPr>
          <w:trHeight w:val="454"/>
        </w:trPr>
        <w:tc>
          <w:tcPr>
            <w:tcW w:w="783" w:type="pct"/>
            <w:shd w:val="clear" w:color="auto" w:fill="auto"/>
            <w:vAlign w:val="center"/>
          </w:tcPr>
          <w:p w14:paraId="4E7DE6AF" w14:textId="1EA907CE" w:rsidR="006F0B0B" w:rsidRPr="00E65B03" w:rsidRDefault="006F0B0B" w:rsidP="002F097D">
            <w:pPr>
              <w:jc w:val="center"/>
              <w:rPr>
                <w:rFonts w:ascii="Aptos" w:hAnsi="Aptos" w:cstheme="minorHAnsi"/>
                <w:b/>
                <w:sz w:val="22"/>
                <w:szCs w:val="22"/>
              </w:rPr>
            </w:pPr>
            <w:r w:rsidRPr="00E65B03">
              <w:rPr>
                <w:rFonts w:ascii="Aptos" w:hAnsi="Aptos" w:cstheme="minorHAnsi"/>
                <w:b/>
                <w:sz w:val="22"/>
                <w:szCs w:val="22"/>
              </w:rPr>
              <w:t xml:space="preserve">Appendix </w:t>
            </w:r>
            <w:r w:rsidR="00FA758B" w:rsidRPr="00E65B03">
              <w:rPr>
                <w:rFonts w:ascii="Aptos" w:hAnsi="Aptos" w:cstheme="minorHAnsi"/>
                <w:b/>
                <w:sz w:val="22"/>
                <w:szCs w:val="22"/>
              </w:rPr>
              <w:t>A</w:t>
            </w:r>
          </w:p>
        </w:tc>
        <w:tc>
          <w:tcPr>
            <w:tcW w:w="3729" w:type="pct"/>
            <w:shd w:val="clear" w:color="auto" w:fill="auto"/>
            <w:vAlign w:val="center"/>
          </w:tcPr>
          <w:p w14:paraId="4F079EB7" w14:textId="7A528F8E"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Definition of Terms</w:t>
            </w:r>
          </w:p>
        </w:tc>
        <w:tc>
          <w:tcPr>
            <w:tcW w:w="488" w:type="pct"/>
            <w:shd w:val="clear" w:color="auto" w:fill="auto"/>
            <w:vAlign w:val="center"/>
          </w:tcPr>
          <w:p w14:paraId="7260B5D5" w14:textId="0BE39D9F" w:rsidR="006F0B0B" w:rsidRPr="00E65B03" w:rsidRDefault="00FA758B" w:rsidP="006F0B0B">
            <w:pPr>
              <w:jc w:val="center"/>
              <w:rPr>
                <w:rFonts w:ascii="Aptos" w:hAnsi="Aptos" w:cstheme="minorHAnsi"/>
                <w:b/>
                <w:sz w:val="22"/>
                <w:szCs w:val="22"/>
              </w:rPr>
            </w:pPr>
            <w:r w:rsidRPr="00E65B03">
              <w:rPr>
                <w:rFonts w:ascii="Aptos" w:hAnsi="Aptos" w:cstheme="minorHAnsi"/>
                <w:b/>
                <w:sz w:val="22"/>
                <w:szCs w:val="22"/>
              </w:rPr>
              <w:t>9</w:t>
            </w:r>
          </w:p>
        </w:tc>
      </w:tr>
      <w:tr w:rsidR="006F0B0B" w:rsidRPr="00E65B03" w14:paraId="229DAE8A" w14:textId="77777777" w:rsidTr="00F53248">
        <w:trPr>
          <w:trHeight w:val="454"/>
        </w:trPr>
        <w:tc>
          <w:tcPr>
            <w:tcW w:w="783" w:type="pct"/>
            <w:shd w:val="clear" w:color="auto" w:fill="auto"/>
            <w:vAlign w:val="center"/>
          </w:tcPr>
          <w:p w14:paraId="6310EB72" w14:textId="070A3CC8" w:rsidR="006F0B0B" w:rsidRPr="00E65B03" w:rsidRDefault="006F0B0B" w:rsidP="002F097D">
            <w:pPr>
              <w:jc w:val="center"/>
              <w:rPr>
                <w:rFonts w:ascii="Aptos" w:hAnsi="Aptos" w:cstheme="minorHAnsi"/>
                <w:b/>
                <w:sz w:val="22"/>
                <w:szCs w:val="22"/>
              </w:rPr>
            </w:pPr>
            <w:r w:rsidRPr="00E65B03">
              <w:rPr>
                <w:rFonts w:ascii="Aptos" w:hAnsi="Aptos" w:cstheme="minorHAnsi"/>
                <w:b/>
                <w:sz w:val="22"/>
                <w:szCs w:val="22"/>
              </w:rPr>
              <w:t xml:space="preserve">Appendix </w:t>
            </w:r>
            <w:r w:rsidR="00FA758B" w:rsidRPr="00E65B03">
              <w:rPr>
                <w:rFonts w:ascii="Aptos" w:hAnsi="Aptos" w:cstheme="minorHAnsi"/>
                <w:b/>
                <w:sz w:val="22"/>
                <w:szCs w:val="22"/>
              </w:rPr>
              <w:t>B</w:t>
            </w:r>
          </w:p>
        </w:tc>
        <w:tc>
          <w:tcPr>
            <w:tcW w:w="3729" w:type="pct"/>
            <w:shd w:val="clear" w:color="auto" w:fill="auto"/>
            <w:vAlign w:val="center"/>
          </w:tcPr>
          <w:p w14:paraId="1B2552D4" w14:textId="76537134"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z w:val="22"/>
                <w:szCs w:val="22"/>
              </w:rPr>
              <w:t xml:space="preserve">Pro-forma Template to </w:t>
            </w:r>
            <w:r w:rsidR="001E4EF6" w:rsidRPr="00E65B03">
              <w:rPr>
                <w:rFonts w:ascii="Aptos" w:eastAsia="Calibri" w:hAnsi="Aptos" w:cstheme="minorHAnsi"/>
                <w:b/>
                <w:color w:val="000000"/>
                <w:sz w:val="22"/>
                <w:szCs w:val="22"/>
              </w:rPr>
              <w:t>P</w:t>
            </w:r>
            <w:r w:rsidRPr="00E65B03">
              <w:rPr>
                <w:rFonts w:ascii="Aptos" w:eastAsia="Calibri" w:hAnsi="Aptos" w:cstheme="minorHAnsi"/>
                <w:b/>
                <w:color w:val="000000"/>
                <w:sz w:val="22"/>
                <w:szCs w:val="22"/>
              </w:rPr>
              <w:t xml:space="preserve">rovide </w:t>
            </w:r>
            <w:r w:rsidR="001E4EF6" w:rsidRPr="00E65B03">
              <w:rPr>
                <w:rFonts w:ascii="Aptos" w:eastAsia="Calibri" w:hAnsi="Aptos" w:cstheme="minorHAnsi"/>
                <w:b/>
                <w:color w:val="000000"/>
                <w:sz w:val="22"/>
                <w:szCs w:val="22"/>
              </w:rPr>
              <w:t>I</w:t>
            </w:r>
            <w:r w:rsidRPr="00E65B03">
              <w:rPr>
                <w:rFonts w:ascii="Aptos" w:eastAsia="Calibri" w:hAnsi="Aptos" w:cstheme="minorHAnsi"/>
                <w:b/>
                <w:color w:val="000000"/>
                <w:sz w:val="22"/>
                <w:szCs w:val="22"/>
              </w:rPr>
              <w:t xml:space="preserve">nformation to </w:t>
            </w:r>
            <w:r w:rsidR="001E4EF6" w:rsidRPr="00E65B03">
              <w:rPr>
                <w:rFonts w:ascii="Aptos" w:eastAsia="Calibri" w:hAnsi="Aptos" w:cstheme="minorHAnsi"/>
                <w:b/>
                <w:color w:val="000000"/>
                <w:sz w:val="22"/>
                <w:szCs w:val="22"/>
              </w:rPr>
              <w:t>Temporary Worker Agency (</w:t>
            </w:r>
            <w:r w:rsidRPr="00E65B03">
              <w:rPr>
                <w:rFonts w:ascii="Aptos" w:eastAsia="Calibri" w:hAnsi="Aptos" w:cstheme="minorHAnsi"/>
                <w:b/>
                <w:color w:val="000000"/>
                <w:sz w:val="22"/>
                <w:szCs w:val="22"/>
              </w:rPr>
              <w:t>TWA</w:t>
            </w:r>
            <w:r w:rsidR="001E4EF6" w:rsidRPr="00E65B03">
              <w:rPr>
                <w:rFonts w:ascii="Aptos" w:eastAsia="Calibri" w:hAnsi="Aptos" w:cstheme="minorHAnsi"/>
                <w:b/>
                <w:color w:val="000000"/>
                <w:sz w:val="22"/>
                <w:szCs w:val="22"/>
              </w:rPr>
              <w:t>)</w:t>
            </w:r>
          </w:p>
        </w:tc>
        <w:tc>
          <w:tcPr>
            <w:tcW w:w="488" w:type="pct"/>
            <w:shd w:val="clear" w:color="auto" w:fill="auto"/>
            <w:vAlign w:val="center"/>
          </w:tcPr>
          <w:p w14:paraId="01E75467" w14:textId="6A629F08" w:rsidR="006F0B0B" w:rsidRPr="00E65B03" w:rsidRDefault="00FA758B" w:rsidP="006F0B0B">
            <w:pPr>
              <w:jc w:val="center"/>
              <w:rPr>
                <w:rFonts w:ascii="Aptos" w:hAnsi="Aptos" w:cstheme="minorHAnsi"/>
                <w:b/>
                <w:sz w:val="22"/>
                <w:szCs w:val="22"/>
              </w:rPr>
            </w:pPr>
            <w:r w:rsidRPr="00E65B03">
              <w:rPr>
                <w:rFonts w:ascii="Aptos" w:hAnsi="Aptos" w:cstheme="minorHAnsi"/>
                <w:b/>
                <w:sz w:val="22"/>
                <w:szCs w:val="22"/>
              </w:rPr>
              <w:t>10</w:t>
            </w:r>
          </w:p>
        </w:tc>
      </w:tr>
      <w:tr w:rsidR="006F0B0B" w:rsidRPr="00E65B03" w14:paraId="7AD67EB9" w14:textId="77777777" w:rsidTr="00F53248">
        <w:trPr>
          <w:trHeight w:val="454"/>
        </w:trPr>
        <w:tc>
          <w:tcPr>
            <w:tcW w:w="783" w:type="pct"/>
            <w:shd w:val="clear" w:color="auto" w:fill="auto"/>
            <w:vAlign w:val="center"/>
          </w:tcPr>
          <w:p w14:paraId="163DA3AD" w14:textId="29751642" w:rsidR="006F0B0B" w:rsidRPr="00E65B03" w:rsidRDefault="006F0B0B" w:rsidP="002F097D">
            <w:pPr>
              <w:jc w:val="center"/>
              <w:rPr>
                <w:rFonts w:ascii="Aptos" w:hAnsi="Aptos" w:cstheme="minorHAnsi"/>
                <w:b/>
                <w:sz w:val="22"/>
                <w:szCs w:val="22"/>
              </w:rPr>
            </w:pPr>
            <w:r w:rsidRPr="00E65B03">
              <w:rPr>
                <w:rFonts w:ascii="Aptos" w:hAnsi="Aptos" w:cstheme="minorHAnsi"/>
                <w:b/>
                <w:sz w:val="22"/>
                <w:szCs w:val="22"/>
              </w:rPr>
              <w:t xml:space="preserve">Appendix </w:t>
            </w:r>
            <w:r w:rsidR="00FA758B" w:rsidRPr="00E65B03">
              <w:rPr>
                <w:rFonts w:ascii="Aptos" w:hAnsi="Aptos" w:cstheme="minorHAnsi"/>
                <w:b/>
                <w:sz w:val="22"/>
                <w:szCs w:val="22"/>
              </w:rPr>
              <w:t>C</w:t>
            </w:r>
          </w:p>
        </w:tc>
        <w:tc>
          <w:tcPr>
            <w:tcW w:w="3729" w:type="pct"/>
            <w:shd w:val="clear" w:color="auto" w:fill="auto"/>
          </w:tcPr>
          <w:p w14:paraId="55BCEF86" w14:textId="3B1E8929" w:rsidR="006F0B0B" w:rsidRPr="00E65B03" w:rsidRDefault="006F0B0B" w:rsidP="006F0B0B">
            <w:pPr>
              <w:rPr>
                <w:rFonts w:ascii="Aptos" w:hAnsi="Aptos" w:cstheme="minorHAnsi"/>
                <w:b/>
                <w:sz w:val="22"/>
                <w:szCs w:val="22"/>
              </w:rPr>
            </w:pPr>
            <w:r w:rsidRPr="00E65B03">
              <w:rPr>
                <w:rFonts w:ascii="Aptos" w:eastAsia="Calibri" w:hAnsi="Aptos" w:cstheme="minorHAnsi"/>
                <w:b/>
                <w:color w:val="000000"/>
                <w:spacing w:val="-2"/>
                <w:sz w:val="22"/>
                <w:szCs w:val="22"/>
              </w:rPr>
              <w:t xml:space="preserve">Pro-forma Template to </w:t>
            </w:r>
            <w:r w:rsidR="001E4EF6" w:rsidRPr="00E65B03">
              <w:rPr>
                <w:rFonts w:ascii="Aptos" w:eastAsia="Calibri" w:hAnsi="Aptos" w:cstheme="minorHAnsi"/>
                <w:b/>
                <w:color w:val="000000"/>
                <w:spacing w:val="-2"/>
                <w:sz w:val="22"/>
                <w:szCs w:val="22"/>
              </w:rPr>
              <w:t>R</w:t>
            </w:r>
            <w:r w:rsidRPr="00E65B03">
              <w:rPr>
                <w:rFonts w:ascii="Aptos" w:eastAsia="Calibri" w:hAnsi="Aptos" w:cstheme="minorHAnsi"/>
                <w:b/>
                <w:color w:val="000000"/>
                <w:spacing w:val="-2"/>
                <w:sz w:val="22"/>
                <w:szCs w:val="22"/>
              </w:rPr>
              <w:t xml:space="preserve">ecord and </w:t>
            </w:r>
            <w:r w:rsidR="001E4EF6" w:rsidRPr="00E65B03">
              <w:rPr>
                <w:rFonts w:ascii="Aptos" w:eastAsia="Calibri" w:hAnsi="Aptos" w:cstheme="minorHAnsi"/>
                <w:b/>
                <w:color w:val="000000"/>
                <w:spacing w:val="-2"/>
                <w:sz w:val="22"/>
                <w:szCs w:val="22"/>
              </w:rPr>
              <w:t>M</w:t>
            </w:r>
            <w:r w:rsidRPr="00E65B03">
              <w:rPr>
                <w:rFonts w:ascii="Aptos" w:eastAsia="Calibri" w:hAnsi="Aptos" w:cstheme="minorHAnsi"/>
                <w:b/>
                <w:color w:val="000000"/>
                <w:spacing w:val="-2"/>
                <w:sz w:val="22"/>
                <w:szCs w:val="22"/>
              </w:rPr>
              <w:t xml:space="preserve">onitor </w:t>
            </w:r>
            <w:r w:rsidR="001E4EF6" w:rsidRPr="00E65B03">
              <w:rPr>
                <w:rFonts w:ascii="Aptos" w:eastAsia="Calibri" w:hAnsi="Aptos" w:cstheme="minorHAnsi"/>
                <w:b/>
                <w:color w:val="000000"/>
                <w:spacing w:val="-2"/>
                <w:sz w:val="22"/>
                <w:szCs w:val="22"/>
              </w:rPr>
              <w:t>A</w:t>
            </w:r>
            <w:r w:rsidRPr="00E65B03">
              <w:rPr>
                <w:rFonts w:ascii="Aptos" w:eastAsia="Calibri" w:hAnsi="Aptos" w:cstheme="minorHAnsi"/>
                <w:b/>
                <w:color w:val="000000"/>
                <w:spacing w:val="-2"/>
                <w:sz w:val="22"/>
                <w:szCs w:val="22"/>
              </w:rPr>
              <w:t xml:space="preserve">gency </w:t>
            </w:r>
            <w:r w:rsidR="001E4EF6" w:rsidRPr="00E65B03">
              <w:rPr>
                <w:rFonts w:ascii="Aptos" w:eastAsia="Calibri" w:hAnsi="Aptos" w:cstheme="minorHAnsi"/>
                <w:b/>
                <w:color w:val="000000"/>
                <w:spacing w:val="-2"/>
                <w:sz w:val="22"/>
                <w:szCs w:val="22"/>
              </w:rPr>
              <w:t>W</w:t>
            </w:r>
            <w:r w:rsidRPr="00E65B03">
              <w:rPr>
                <w:rFonts w:ascii="Aptos" w:eastAsia="Calibri" w:hAnsi="Aptos" w:cstheme="minorHAnsi"/>
                <w:b/>
                <w:color w:val="000000"/>
                <w:spacing w:val="-2"/>
                <w:sz w:val="22"/>
                <w:szCs w:val="22"/>
              </w:rPr>
              <w:t>orkers</w:t>
            </w:r>
            <w:r w:rsidR="001E4EF6" w:rsidRPr="00E65B03">
              <w:rPr>
                <w:rFonts w:ascii="Aptos" w:eastAsia="Calibri" w:hAnsi="Aptos" w:cstheme="minorHAnsi"/>
                <w:b/>
                <w:color w:val="000000"/>
                <w:spacing w:val="-2"/>
                <w:sz w:val="22"/>
                <w:szCs w:val="22"/>
              </w:rPr>
              <w:t>’</w:t>
            </w:r>
            <w:r w:rsidRPr="00E65B03">
              <w:rPr>
                <w:rFonts w:ascii="Aptos" w:eastAsia="Calibri" w:hAnsi="Aptos" w:cstheme="minorHAnsi"/>
                <w:b/>
                <w:color w:val="000000"/>
                <w:spacing w:val="-2"/>
                <w:sz w:val="22"/>
                <w:szCs w:val="22"/>
              </w:rPr>
              <w:t xml:space="preserve"> </w:t>
            </w:r>
            <w:r w:rsidR="001E4EF6" w:rsidRPr="00E65B03">
              <w:rPr>
                <w:rFonts w:ascii="Aptos" w:eastAsia="Calibri" w:hAnsi="Aptos" w:cstheme="minorHAnsi"/>
                <w:b/>
                <w:color w:val="000000"/>
                <w:spacing w:val="-2"/>
                <w:sz w:val="22"/>
                <w:szCs w:val="22"/>
              </w:rPr>
              <w:t>A</w:t>
            </w:r>
            <w:r w:rsidRPr="00E65B03">
              <w:rPr>
                <w:rFonts w:ascii="Aptos" w:eastAsia="Calibri" w:hAnsi="Aptos" w:cstheme="minorHAnsi"/>
                <w:b/>
                <w:color w:val="000000"/>
                <w:spacing w:val="-2"/>
                <w:sz w:val="22"/>
                <w:szCs w:val="22"/>
              </w:rPr>
              <w:t>ssignments (</w:t>
            </w:r>
            <w:r w:rsidR="004A5676" w:rsidRPr="00E65B03">
              <w:rPr>
                <w:rFonts w:ascii="Aptos" w:eastAsia="Calibri" w:hAnsi="Aptos" w:cstheme="minorHAnsi"/>
                <w:b/>
                <w:color w:val="000000"/>
                <w:spacing w:val="-2"/>
                <w:sz w:val="22"/>
                <w:szCs w:val="22"/>
              </w:rPr>
              <w:t>a</w:t>
            </w:r>
            <w:r w:rsidRPr="00E65B03">
              <w:rPr>
                <w:rFonts w:ascii="Aptos" w:eastAsia="Calibri" w:hAnsi="Aptos" w:cstheme="minorHAnsi"/>
                <w:b/>
                <w:color w:val="000000"/>
                <w:spacing w:val="-2"/>
                <w:sz w:val="22"/>
                <w:szCs w:val="22"/>
              </w:rPr>
              <w:t xml:space="preserve">vailable as </w:t>
            </w:r>
            <w:r w:rsidR="007474CA">
              <w:rPr>
                <w:rFonts w:ascii="Aptos" w:eastAsia="Calibri" w:hAnsi="Aptos" w:cstheme="minorHAnsi"/>
                <w:b/>
                <w:color w:val="000000"/>
                <w:spacing w:val="-2"/>
                <w:sz w:val="22"/>
                <w:szCs w:val="22"/>
              </w:rPr>
              <w:t xml:space="preserve">a </w:t>
            </w:r>
            <w:r w:rsidRPr="00E65B03">
              <w:rPr>
                <w:rFonts w:ascii="Aptos" w:eastAsia="Calibri" w:hAnsi="Aptos" w:cstheme="minorHAnsi"/>
                <w:b/>
                <w:color w:val="000000"/>
                <w:spacing w:val="-2"/>
                <w:sz w:val="22"/>
                <w:szCs w:val="22"/>
              </w:rPr>
              <w:t xml:space="preserve">separate </w:t>
            </w:r>
            <w:r w:rsidR="004A5676" w:rsidRPr="00E65B03">
              <w:rPr>
                <w:rFonts w:ascii="Aptos" w:eastAsia="Calibri" w:hAnsi="Aptos" w:cstheme="minorHAnsi"/>
                <w:b/>
                <w:color w:val="000000"/>
                <w:spacing w:val="-2"/>
                <w:sz w:val="22"/>
                <w:szCs w:val="22"/>
              </w:rPr>
              <w:t>template</w:t>
            </w:r>
            <w:r w:rsidRPr="00E65B03">
              <w:rPr>
                <w:rFonts w:ascii="Aptos" w:eastAsia="Calibri" w:hAnsi="Aptos" w:cstheme="minorHAnsi"/>
                <w:b/>
                <w:color w:val="000000"/>
                <w:spacing w:val="-2"/>
                <w:sz w:val="22"/>
                <w:szCs w:val="22"/>
              </w:rPr>
              <w:t>)</w:t>
            </w:r>
          </w:p>
        </w:tc>
        <w:tc>
          <w:tcPr>
            <w:tcW w:w="488" w:type="pct"/>
            <w:shd w:val="clear" w:color="auto" w:fill="auto"/>
            <w:vAlign w:val="center"/>
          </w:tcPr>
          <w:p w14:paraId="4C3DD30D" w14:textId="013EB1A0" w:rsidR="006F0B0B" w:rsidRPr="00E65B03" w:rsidRDefault="00FA758B" w:rsidP="006F0B0B">
            <w:pPr>
              <w:jc w:val="center"/>
              <w:rPr>
                <w:rFonts w:ascii="Aptos" w:hAnsi="Aptos" w:cstheme="minorHAnsi"/>
                <w:b/>
                <w:sz w:val="22"/>
                <w:szCs w:val="22"/>
              </w:rPr>
            </w:pPr>
            <w:r w:rsidRPr="00E65B03">
              <w:rPr>
                <w:rFonts w:ascii="Aptos" w:hAnsi="Aptos" w:cstheme="minorHAnsi"/>
                <w:b/>
                <w:sz w:val="22"/>
                <w:szCs w:val="22"/>
              </w:rPr>
              <w:t>11</w:t>
            </w:r>
          </w:p>
        </w:tc>
      </w:tr>
    </w:tbl>
    <w:p w14:paraId="5573F294" w14:textId="77777777" w:rsidR="002D6FC0" w:rsidRPr="00E65B03" w:rsidRDefault="002D6FC0" w:rsidP="002D6FC0">
      <w:pPr>
        <w:jc w:val="center"/>
        <w:rPr>
          <w:rFonts w:ascii="Aptos" w:hAnsi="Aptos" w:cstheme="minorHAnsi"/>
          <w:sz w:val="22"/>
          <w:szCs w:val="22"/>
        </w:rPr>
      </w:pPr>
    </w:p>
    <w:bookmarkEnd w:id="2"/>
    <w:p w14:paraId="5C2DFFB1" w14:textId="77777777" w:rsidR="00D53770" w:rsidRPr="00E65B03" w:rsidRDefault="00D53770" w:rsidP="002D6FC0">
      <w:pPr>
        <w:jc w:val="center"/>
        <w:rPr>
          <w:rFonts w:ascii="Aptos" w:hAnsi="Aptos" w:cstheme="minorHAnsi"/>
          <w:sz w:val="22"/>
          <w:szCs w:val="22"/>
        </w:rPr>
      </w:pPr>
    </w:p>
    <w:p w14:paraId="6BB700AA" w14:textId="77777777" w:rsidR="00D5276B" w:rsidRPr="00E65B03" w:rsidRDefault="00D5276B">
      <w:pPr>
        <w:rPr>
          <w:rFonts w:ascii="Aptos" w:hAnsi="Aptos" w:cstheme="minorHAnsi"/>
          <w:sz w:val="22"/>
          <w:szCs w:val="22"/>
        </w:rPr>
      </w:pPr>
    </w:p>
    <w:p w14:paraId="66A17204" w14:textId="77777777" w:rsidR="00D5276B" w:rsidRPr="00E65B03" w:rsidRDefault="00D5276B">
      <w:pPr>
        <w:rPr>
          <w:rFonts w:ascii="Aptos" w:hAnsi="Aptos" w:cstheme="minorHAnsi"/>
          <w:sz w:val="22"/>
          <w:szCs w:val="22"/>
        </w:rPr>
      </w:pPr>
    </w:p>
    <w:p w14:paraId="5A9FF1D2" w14:textId="77777777" w:rsidR="00D5276B" w:rsidRPr="00E65B03" w:rsidRDefault="00D5276B">
      <w:pPr>
        <w:rPr>
          <w:rFonts w:ascii="Aptos" w:hAnsi="Aptos" w:cstheme="minorHAnsi"/>
          <w:sz w:val="22"/>
          <w:szCs w:val="22"/>
        </w:rPr>
      </w:pPr>
    </w:p>
    <w:p w14:paraId="450CF47C" w14:textId="77777777" w:rsidR="00D5276B" w:rsidRPr="00E65B03" w:rsidRDefault="00D5276B">
      <w:pPr>
        <w:rPr>
          <w:rFonts w:ascii="Aptos" w:hAnsi="Aptos" w:cstheme="minorHAnsi"/>
          <w:sz w:val="22"/>
          <w:szCs w:val="22"/>
        </w:rPr>
      </w:pPr>
    </w:p>
    <w:p w14:paraId="1D0C01CE" w14:textId="77777777" w:rsidR="00D5276B" w:rsidRPr="00FA758B" w:rsidRDefault="00D5276B">
      <w:pPr>
        <w:rPr>
          <w:rFonts w:asciiTheme="minorHAnsi" w:hAnsiTheme="minorHAnsi" w:cstheme="minorHAnsi"/>
          <w:sz w:val="22"/>
          <w:szCs w:val="22"/>
        </w:rPr>
      </w:pPr>
    </w:p>
    <w:p w14:paraId="70ADFD9F" w14:textId="77777777" w:rsidR="00D5276B" w:rsidRPr="00FA758B" w:rsidRDefault="00D5276B">
      <w:pPr>
        <w:rPr>
          <w:rFonts w:asciiTheme="minorHAnsi" w:hAnsiTheme="minorHAnsi" w:cstheme="minorHAnsi"/>
          <w:sz w:val="22"/>
          <w:szCs w:val="22"/>
        </w:rPr>
      </w:pPr>
    </w:p>
    <w:p w14:paraId="5DE7A908" w14:textId="77777777" w:rsidR="00D5276B" w:rsidRPr="00FA758B" w:rsidRDefault="00D5276B">
      <w:pPr>
        <w:rPr>
          <w:rFonts w:asciiTheme="minorHAnsi" w:hAnsiTheme="minorHAnsi" w:cstheme="minorHAnsi"/>
          <w:sz w:val="22"/>
          <w:szCs w:val="22"/>
        </w:rPr>
      </w:pPr>
    </w:p>
    <w:p w14:paraId="1B4C83E1" w14:textId="77777777" w:rsidR="00D5276B" w:rsidRPr="00FA758B" w:rsidRDefault="00D5276B">
      <w:pPr>
        <w:rPr>
          <w:rFonts w:asciiTheme="minorHAnsi" w:hAnsiTheme="minorHAnsi" w:cstheme="minorHAnsi"/>
          <w:sz w:val="22"/>
          <w:szCs w:val="22"/>
        </w:rPr>
      </w:pPr>
    </w:p>
    <w:p w14:paraId="616C1EC3" w14:textId="77777777" w:rsidR="00D5276B" w:rsidRPr="00FA758B" w:rsidRDefault="00D5276B">
      <w:pPr>
        <w:rPr>
          <w:rFonts w:asciiTheme="minorHAnsi" w:hAnsiTheme="minorHAnsi" w:cstheme="minorHAnsi"/>
          <w:sz w:val="22"/>
          <w:szCs w:val="22"/>
        </w:rPr>
      </w:pPr>
    </w:p>
    <w:p w14:paraId="0BE4F862" w14:textId="77777777" w:rsidR="00D5276B" w:rsidRPr="00FA758B" w:rsidRDefault="00D5276B">
      <w:pPr>
        <w:rPr>
          <w:rFonts w:asciiTheme="minorHAnsi" w:hAnsiTheme="minorHAnsi" w:cstheme="minorHAnsi"/>
          <w:sz w:val="22"/>
          <w:szCs w:val="22"/>
        </w:rPr>
      </w:pPr>
    </w:p>
    <w:p w14:paraId="6A197D66" w14:textId="77777777" w:rsidR="00D5276B" w:rsidRPr="00FA758B" w:rsidRDefault="00D5276B">
      <w:pPr>
        <w:rPr>
          <w:rFonts w:asciiTheme="minorHAnsi" w:hAnsiTheme="minorHAnsi" w:cstheme="minorHAnsi"/>
          <w:sz w:val="22"/>
          <w:szCs w:val="22"/>
        </w:rPr>
      </w:pPr>
    </w:p>
    <w:p w14:paraId="6EEC9BED" w14:textId="77777777" w:rsidR="00D5276B" w:rsidRPr="00FA758B" w:rsidRDefault="00D5276B">
      <w:pPr>
        <w:rPr>
          <w:rFonts w:asciiTheme="minorHAnsi" w:hAnsiTheme="minorHAnsi" w:cstheme="minorHAnsi"/>
          <w:sz w:val="22"/>
          <w:szCs w:val="22"/>
        </w:rPr>
      </w:pPr>
    </w:p>
    <w:p w14:paraId="0626C631" w14:textId="77777777" w:rsidR="00D5276B" w:rsidRPr="00FA758B" w:rsidRDefault="00D5276B">
      <w:pPr>
        <w:rPr>
          <w:rFonts w:asciiTheme="minorHAnsi" w:hAnsiTheme="minorHAnsi" w:cstheme="minorHAnsi"/>
          <w:sz w:val="22"/>
          <w:szCs w:val="22"/>
        </w:rPr>
      </w:pPr>
    </w:p>
    <w:p w14:paraId="188DF947" w14:textId="77777777" w:rsidR="00D5276B" w:rsidRPr="00FA758B" w:rsidRDefault="00D5276B">
      <w:pPr>
        <w:rPr>
          <w:rFonts w:asciiTheme="minorHAnsi" w:hAnsiTheme="minorHAnsi" w:cstheme="minorHAnsi"/>
          <w:sz w:val="22"/>
          <w:szCs w:val="22"/>
        </w:rPr>
      </w:pPr>
    </w:p>
    <w:p w14:paraId="19A0EA78" w14:textId="77777777" w:rsidR="00D5276B" w:rsidRPr="00FA758B" w:rsidRDefault="00D5276B">
      <w:pPr>
        <w:rPr>
          <w:rFonts w:asciiTheme="minorHAnsi" w:hAnsiTheme="minorHAnsi" w:cstheme="minorHAnsi"/>
          <w:sz w:val="22"/>
          <w:szCs w:val="22"/>
        </w:rPr>
      </w:pPr>
    </w:p>
    <w:p w14:paraId="4D4FB09F" w14:textId="77777777" w:rsidR="00D5276B" w:rsidRPr="00FA758B" w:rsidRDefault="00D5276B">
      <w:pPr>
        <w:rPr>
          <w:rFonts w:asciiTheme="minorHAnsi" w:hAnsiTheme="minorHAnsi" w:cstheme="minorHAnsi"/>
          <w:sz w:val="22"/>
          <w:szCs w:val="22"/>
        </w:rPr>
      </w:pPr>
    </w:p>
    <w:p w14:paraId="053791FE" w14:textId="77777777" w:rsidR="00D5276B" w:rsidRPr="00FA758B" w:rsidRDefault="00D5276B">
      <w:pPr>
        <w:rPr>
          <w:rFonts w:asciiTheme="minorHAnsi" w:hAnsiTheme="minorHAnsi" w:cstheme="minorHAnsi"/>
          <w:sz w:val="22"/>
          <w:szCs w:val="22"/>
        </w:rPr>
      </w:pPr>
    </w:p>
    <w:p w14:paraId="3FE862AA" w14:textId="77777777" w:rsidR="00D5276B" w:rsidRPr="00FA758B" w:rsidRDefault="00D5276B">
      <w:pPr>
        <w:rPr>
          <w:rFonts w:asciiTheme="minorHAnsi" w:hAnsiTheme="minorHAnsi" w:cstheme="minorHAnsi"/>
          <w:sz w:val="22"/>
          <w:szCs w:val="22"/>
        </w:rPr>
      </w:pPr>
    </w:p>
    <w:p w14:paraId="511DDFBC" w14:textId="77777777" w:rsidR="00D5276B" w:rsidRPr="00FA758B" w:rsidRDefault="00D5276B">
      <w:pPr>
        <w:rPr>
          <w:rFonts w:asciiTheme="minorHAnsi" w:hAnsiTheme="minorHAnsi" w:cstheme="minorHAnsi"/>
          <w:sz w:val="22"/>
          <w:szCs w:val="22"/>
        </w:rPr>
      </w:pPr>
    </w:p>
    <w:p w14:paraId="71C04B58" w14:textId="77777777" w:rsidR="00D5276B" w:rsidRPr="00FA758B" w:rsidRDefault="00D5276B">
      <w:pPr>
        <w:rPr>
          <w:rFonts w:asciiTheme="minorHAnsi" w:hAnsiTheme="minorHAnsi" w:cstheme="minorHAnsi"/>
          <w:sz w:val="22"/>
          <w:szCs w:val="22"/>
        </w:rPr>
      </w:pPr>
    </w:p>
    <w:p w14:paraId="79176654" w14:textId="549715B2" w:rsidR="00FA758B" w:rsidRPr="00FA758B" w:rsidRDefault="00FA758B">
      <w:pPr>
        <w:rPr>
          <w:rFonts w:asciiTheme="minorHAnsi" w:hAnsiTheme="minorHAnsi" w:cstheme="minorHAnsi"/>
          <w:sz w:val="22"/>
          <w:szCs w:val="22"/>
        </w:rPr>
      </w:pPr>
      <w:r w:rsidRPr="00FA758B">
        <w:rPr>
          <w:rFonts w:asciiTheme="minorHAnsi" w:hAnsiTheme="minorHAnsi" w:cstheme="minorHAnsi"/>
          <w:sz w:val="22"/>
          <w:szCs w:val="22"/>
        </w:rPr>
        <w:br w:type="page"/>
      </w:r>
    </w:p>
    <w:p w14:paraId="6FF5B7A9" w14:textId="59504B02" w:rsidR="00FA758B" w:rsidRPr="00170B70" w:rsidRDefault="00FA758B" w:rsidP="00FA758B">
      <w:pPr>
        <w:numPr>
          <w:ilvl w:val="0"/>
          <w:numId w:val="20"/>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ind w:left="142"/>
        <w:textAlignment w:val="baseline"/>
        <w:rPr>
          <w:rFonts w:ascii="Aptos" w:eastAsia="Calibri" w:hAnsi="Aptos" w:cstheme="minorHAnsi"/>
          <w:b/>
          <w:color w:val="000000"/>
          <w:sz w:val="22"/>
          <w:szCs w:val="22"/>
        </w:rPr>
      </w:pPr>
      <w:r w:rsidRPr="00170B70">
        <w:rPr>
          <w:rFonts w:ascii="Aptos" w:eastAsia="Calibri" w:hAnsi="Aptos" w:cstheme="minorHAnsi"/>
          <w:b/>
          <w:color w:val="000000"/>
          <w:sz w:val="22"/>
          <w:szCs w:val="22"/>
        </w:rPr>
        <w:t>Introduction</w:t>
      </w:r>
    </w:p>
    <w:p w14:paraId="791B3387" w14:textId="785A80C3" w:rsidR="00FA758B" w:rsidRPr="00170B70" w:rsidRDefault="00FA758B" w:rsidP="00FA758B">
      <w:pPr>
        <w:spacing w:before="267" w:line="269" w:lineRule="exact"/>
        <w:ind w:left="144" w:right="180"/>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The Agency Workers Regulations 2010 (“the Regulations”) came into force on 1</w:t>
      </w:r>
      <w:r w:rsidRPr="00170B70">
        <w:rPr>
          <w:rFonts w:ascii="Aptos" w:eastAsia="Calibri" w:hAnsi="Aptos" w:cstheme="minorHAnsi"/>
          <w:color w:val="000000"/>
          <w:sz w:val="22"/>
          <w:szCs w:val="22"/>
          <w:vertAlign w:val="superscript"/>
        </w:rPr>
        <w:t>st</w:t>
      </w:r>
      <w:r w:rsidRPr="00170B70">
        <w:rPr>
          <w:rFonts w:ascii="Aptos" w:eastAsia="Calibri" w:hAnsi="Aptos" w:cstheme="minorHAnsi"/>
          <w:color w:val="000000"/>
          <w:sz w:val="22"/>
          <w:szCs w:val="22"/>
        </w:rPr>
        <w:t xml:space="preserve"> October 2011 giving agency workers the entitlement to the same basic employment and working conditions as if they had been recruited directly, if and when they complete a qualifying period of 12 weeks in the same job. However, some of the new rights apply from the first day of an agency worker’s assignment (“day 1 rights”).</w:t>
      </w:r>
    </w:p>
    <w:p w14:paraId="2394C4CB" w14:textId="77777777" w:rsidR="00FA758B" w:rsidRPr="00170B70" w:rsidRDefault="00FA758B" w:rsidP="00FA758B">
      <w:pPr>
        <w:spacing w:before="279" w:line="264" w:lineRule="exact"/>
        <w:ind w:left="144" w:right="216"/>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The qualifying period is not retrospective, and for those agency workers already on assignment, the 12 week qualifying period will start from 1</w:t>
      </w:r>
      <w:r w:rsidRPr="00170B70">
        <w:rPr>
          <w:rFonts w:ascii="Aptos" w:eastAsia="Calibri" w:hAnsi="Aptos" w:cstheme="minorHAnsi"/>
          <w:color w:val="000000"/>
          <w:sz w:val="22"/>
          <w:szCs w:val="22"/>
          <w:vertAlign w:val="superscript"/>
        </w:rPr>
        <w:t>st</w:t>
      </w:r>
      <w:r w:rsidRPr="00170B70">
        <w:rPr>
          <w:rFonts w:ascii="Aptos" w:eastAsia="Calibri" w:hAnsi="Aptos" w:cstheme="minorHAnsi"/>
          <w:color w:val="000000"/>
          <w:sz w:val="22"/>
          <w:szCs w:val="22"/>
        </w:rPr>
        <w:t xml:space="preserve"> October 2011.</w:t>
      </w:r>
    </w:p>
    <w:p w14:paraId="1D4E783D" w14:textId="77777777" w:rsidR="00FA758B" w:rsidRPr="00170B70" w:rsidRDefault="00FA758B" w:rsidP="00FA758B">
      <w:pPr>
        <w:spacing w:before="268" w:line="269" w:lineRule="exact"/>
        <w:ind w:left="144" w:right="14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An agency worker whose rights have been infringed under the Regulations will be able to bring a claim in the Employment Tribunal against the temporary work agency (“TWA”) and/or the hirer, as appropriate, for a declaration of their rights and for compensation. While there is a minimum compensatory award of two weeks’ pay, there is no maximum limit on the amount that can be awarded.</w:t>
      </w:r>
    </w:p>
    <w:p w14:paraId="6667837D" w14:textId="77777777" w:rsidR="00FA758B" w:rsidRPr="00170B70" w:rsidRDefault="00FA758B" w:rsidP="00FA758B">
      <w:pPr>
        <w:spacing w:before="268" w:line="269" w:lineRule="exact"/>
        <w:ind w:left="144" w:right="14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The Regulations refer to the person who hires a temporary agency worker from a TWA as the ‘hirer’. For the purposes of this guidance the ‘hirer’ is the School.</w:t>
      </w:r>
    </w:p>
    <w:p w14:paraId="2C2C4F9E" w14:textId="77777777" w:rsidR="00FA758B" w:rsidRPr="00170B70" w:rsidRDefault="00FA758B" w:rsidP="00FA758B">
      <w:pPr>
        <w:spacing w:before="268" w:line="269" w:lineRule="exact"/>
        <w:ind w:left="144" w:right="14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Individuals outside the scope of the Regulations include the genuinely self-employed, individuals on secondment or loan and the introduction of workers to the School by recruitment agencies for fixed term or permanent employment.</w:t>
      </w:r>
    </w:p>
    <w:p w14:paraId="3AF727E1" w14:textId="77777777" w:rsidR="00FA758B" w:rsidRPr="00170B70" w:rsidRDefault="00FA758B" w:rsidP="00FA758B">
      <w:pPr>
        <w:spacing w:before="268" w:line="269" w:lineRule="exact"/>
        <w:ind w:left="144" w:right="14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Definition of certain terms which are contained within this guidance are included at Appendix A.</w:t>
      </w:r>
    </w:p>
    <w:p w14:paraId="36C1C785" w14:textId="77777777" w:rsidR="00FA758B" w:rsidRPr="00170B70" w:rsidRDefault="00FA758B" w:rsidP="00FA758B">
      <w:pPr>
        <w:spacing w:line="269" w:lineRule="exact"/>
        <w:ind w:left="144" w:right="144"/>
        <w:jc w:val="both"/>
        <w:textAlignment w:val="baseline"/>
        <w:rPr>
          <w:rFonts w:ascii="Aptos" w:eastAsia="Calibri" w:hAnsi="Aptos" w:cstheme="minorHAnsi"/>
          <w:color w:val="000000"/>
          <w:sz w:val="22"/>
          <w:szCs w:val="22"/>
        </w:rPr>
      </w:pPr>
    </w:p>
    <w:p w14:paraId="430FF88E" w14:textId="4B709486" w:rsidR="00FA758B" w:rsidRPr="00170B70" w:rsidRDefault="00FA758B" w:rsidP="00FA758B">
      <w:pPr>
        <w:numPr>
          <w:ilvl w:val="0"/>
          <w:numId w:val="20"/>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ind w:left="142"/>
        <w:textAlignment w:val="baseline"/>
        <w:rPr>
          <w:rFonts w:ascii="Aptos" w:eastAsia="Calibri" w:hAnsi="Aptos" w:cstheme="minorHAnsi"/>
          <w:b/>
          <w:color w:val="000000"/>
          <w:sz w:val="22"/>
          <w:szCs w:val="22"/>
        </w:rPr>
      </w:pPr>
      <w:r w:rsidRPr="00170B70">
        <w:rPr>
          <w:rFonts w:ascii="Aptos" w:eastAsia="Calibri" w:hAnsi="Aptos" w:cstheme="minorHAnsi"/>
          <w:b/>
          <w:color w:val="000000"/>
          <w:sz w:val="22"/>
          <w:szCs w:val="22"/>
        </w:rPr>
        <w:t xml:space="preserve">Day 1 </w:t>
      </w:r>
      <w:r w:rsidR="008E2E37" w:rsidRPr="00170B70">
        <w:rPr>
          <w:rFonts w:ascii="Aptos" w:eastAsia="Calibri" w:hAnsi="Aptos" w:cstheme="minorHAnsi"/>
          <w:b/>
          <w:color w:val="000000"/>
          <w:sz w:val="22"/>
          <w:szCs w:val="22"/>
        </w:rPr>
        <w:t>R</w:t>
      </w:r>
      <w:r w:rsidRPr="00170B70">
        <w:rPr>
          <w:rFonts w:ascii="Aptos" w:eastAsia="Calibri" w:hAnsi="Aptos" w:cstheme="minorHAnsi"/>
          <w:b/>
          <w:color w:val="000000"/>
          <w:sz w:val="22"/>
          <w:szCs w:val="22"/>
        </w:rPr>
        <w:t xml:space="preserve">ights for </w:t>
      </w:r>
      <w:r w:rsidR="008E2E37" w:rsidRPr="00170B70">
        <w:rPr>
          <w:rFonts w:ascii="Aptos" w:eastAsia="Calibri" w:hAnsi="Aptos" w:cstheme="minorHAnsi"/>
          <w:b/>
          <w:color w:val="000000"/>
          <w:sz w:val="22"/>
          <w:szCs w:val="22"/>
        </w:rPr>
        <w:t>a</w:t>
      </w:r>
      <w:r w:rsidRPr="00170B70">
        <w:rPr>
          <w:rFonts w:ascii="Aptos" w:eastAsia="Calibri" w:hAnsi="Aptos" w:cstheme="minorHAnsi"/>
          <w:b/>
          <w:color w:val="000000"/>
          <w:sz w:val="22"/>
          <w:szCs w:val="22"/>
        </w:rPr>
        <w:t xml:space="preserve">ll </w:t>
      </w:r>
      <w:r w:rsidR="008E2E37" w:rsidRPr="00170B70">
        <w:rPr>
          <w:rFonts w:ascii="Aptos" w:eastAsia="Calibri" w:hAnsi="Aptos" w:cstheme="minorHAnsi"/>
          <w:b/>
          <w:color w:val="000000"/>
          <w:sz w:val="22"/>
          <w:szCs w:val="22"/>
        </w:rPr>
        <w:t>A</w:t>
      </w:r>
      <w:r w:rsidRPr="00170B70">
        <w:rPr>
          <w:rFonts w:ascii="Aptos" w:eastAsia="Calibri" w:hAnsi="Aptos" w:cstheme="minorHAnsi"/>
          <w:b/>
          <w:color w:val="000000"/>
          <w:sz w:val="22"/>
          <w:szCs w:val="22"/>
        </w:rPr>
        <w:t xml:space="preserve">gency </w:t>
      </w:r>
      <w:r w:rsidR="008E2E37" w:rsidRPr="00170B70">
        <w:rPr>
          <w:rFonts w:ascii="Aptos" w:eastAsia="Calibri" w:hAnsi="Aptos" w:cstheme="minorHAnsi"/>
          <w:b/>
          <w:color w:val="000000"/>
          <w:sz w:val="22"/>
          <w:szCs w:val="22"/>
        </w:rPr>
        <w:t>W</w:t>
      </w:r>
      <w:r w:rsidRPr="00170B70">
        <w:rPr>
          <w:rFonts w:ascii="Aptos" w:eastAsia="Calibri" w:hAnsi="Aptos" w:cstheme="minorHAnsi"/>
          <w:b/>
          <w:color w:val="000000"/>
          <w:sz w:val="22"/>
          <w:szCs w:val="22"/>
        </w:rPr>
        <w:t>orkers</w:t>
      </w:r>
    </w:p>
    <w:p w14:paraId="56BF451D" w14:textId="77777777" w:rsidR="00FA758B" w:rsidRPr="00170B70" w:rsidRDefault="00FA758B" w:rsidP="00FA758B">
      <w:pPr>
        <w:spacing w:before="268" w:line="269" w:lineRule="exact"/>
        <w:ind w:left="144" w:right="144"/>
        <w:jc w:val="both"/>
        <w:textAlignment w:val="baseline"/>
        <w:rPr>
          <w:rFonts w:ascii="Aptos" w:eastAsia="Calibri" w:hAnsi="Aptos" w:cstheme="minorHAnsi"/>
          <w:color w:val="000000"/>
          <w:sz w:val="22"/>
          <w:szCs w:val="22"/>
        </w:rPr>
      </w:pPr>
      <w:r w:rsidRPr="00170B70">
        <w:rPr>
          <w:rFonts w:ascii="Aptos" w:eastAsia="Calibri" w:hAnsi="Aptos" w:cstheme="minorHAnsi"/>
          <w:b/>
          <w:color w:val="000000"/>
          <w:sz w:val="22"/>
          <w:szCs w:val="22"/>
        </w:rPr>
        <w:t>Access to Collective Facilities and Amenities</w:t>
      </w:r>
    </w:p>
    <w:p w14:paraId="02CB4819" w14:textId="77777777" w:rsidR="00FA758B" w:rsidRPr="00170B70" w:rsidRDefault="00FA758B" w:rsidP="00FA758B">
      <w:pPr>
        <w:spacing w:before="269" w:line="268" w:lineRule="exact"/>
        <w:ind w:left="144" w:right="216"/>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From day one of an assignment, agency workers are entitled to be treated no less favourably than a comparable employee in relation to access to collective facilities and amenities, provided by the hirer.</w:t>
      </w:r>
    </w:p>
    <w:p w14:paraId="4B99A366" w14:textId="77777777" w:rsidR="00FA758B" w:rsidRPr="00170B70" w:rsidRDefault="00FA758B" w:rsidP="00FA758B">
      <w:pPr>
        <w:spacing w:before="269" w:line="268" w:lineRule="exact"/>
        <w:ind w:left="144" w:right="216"/>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This is not intended to extend to all benefits which a hirer might provide to directly recruited employees, rather it applies to collective facilities provided by the hirer such as:</w:t>
      </w:r>
    </w:p>
    <w:p w14:paraId="601E625C" w14:textId="77777777" w:rsidR="00FA758B" w:rsidRPr="00170B70" w:rsidRDefault="00FA758B" w:rsidP="00FA758B">
      <w:pPr>
        <w:numPr>
          <w:ilvl w:val="0"/>
          <w:numId w:val="21"/>
        </w:numPr>
        <w:tabs>
          <w:tab w:val="clear" w:pos="360"/>
          <w:tab w:val="left" w:pos="864"/>
        </w:tabs>
        <w:spacing w:before="309" w:line="237"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Canteen or other similar facilities</w:t>
      </w:r>
    </w:p>
    <w:p w14:paraId="08B06042" w14:textId="77777777" w:rsidR="00FA758B" w:rsidRPr="00170B70" w:rsidRDefault="00FA758B" w:rsidP="00FA758B">
      <w:pPr>
        <w:numPr>
          <w:ilvl w:val="0"/>
          <w:numId w:val="21"/>
        </w:numPr>
        <w:tabs>
          <w:tab w:val="clear" w:pos="360"/>
          <w:tab w:val="left" w:pos="864"/>
        </w:tabs>
        <w:spacing w:before="46" w:line="238"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Workplace crèche</w:t>
      </w:r>
    </w:p>
    <w:p w14:paraId="7169689D" w14:textId="77777777" w:rsidR="00FA758B" w:rsidRPr="00170B70" w:rsidRDefault="00FA758B" w:rsidP="00FA758B">
      <w:pPr>
        <w:numPr>
          <w:ilvl w:val="0"/>
          <w:numId w:val="21"/>
        </w:numPr>
        <w:tabs>
          <w:tab w:val="clear" w:pos="360"/>
          <w:tab w:val="left" w:pos="864"/>
        </w:tabs>
        <w:spacing w:before="40" w:line="239"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Transport facilities</w:t>
      </w:r>
    </w:p>
    <w:p w14:paraId="73DF486B" w14:textId="77777777" w:rsidR="00FA758B" w:rsidRPr="00170B70" w:rsidRDefault="00FA758B" w:rsidP="00FA758B">
      <w:pPr>
        <w:numPr>
          <w:ilvl w:val="0"/>
          <w:numId w:val="21"/>
        </w:numPr>
        <w:tabs>
          <w:tab w:val="clear" w:pos="360"/>
          <w:tab w:val="left" w:pos="864"/>
        </w:tabs>
        <w:spacing w:before="45" w:line="237"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Toilet/shower facilities</w:t>
      </w:r>
    </w:p>
    <w:p w14:paraId="57EA1499" w14:textId="77777777" w:rsidR="00FA758B" w:rsidRPr="00170B70" w:rsidRDefault="00FA758B" w:rsidP="00FA758B">
      <w:pPr>
        <w:numPr>
          <w:ilvl w:val="0"/>
          <w:numId w:val="21"/>
        </w:numPr>
        <w:tabs>
          <w:tab w:val="clear" w:pos="360"/>
          <w:tab w:val="left" w:pos="864"/>
        </w:tabs>
        <w:spacing w:before="41" w:line="237"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Staff Common Room</w:t>
      </w:r>
    </w:p>
    <w:p w14:paraId="4A2528CB" w14:textId="77777777" w:rsidR="00FA758B" w:rsidRPr="00170B70" w:rsidRDefault="00FA758B" w:rsidP="00FA758B">
      <w:pPr>
        <w:numPr>
          <w:ilvl w:val="0"/>
          <w:numId w:val="21"/>
        </w:numPr>
        <w:tabs>
          <w:tab w:val="clear" w:pos="360"/>
          <w:tab w:val="left" w:pos="864"/>
        </w:tabs>
        <w:spacing w:before="41" w:line="239"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Waiting Room</w:t>
      </w:r>
    </w:p>
    <w:p w14:paraId="0E9ACD37" w14:textId="77777777" w:rsidR="00FA758B" w:rsidRPr="00170B70" w:rsidRDefault="00FA758B" w:rsidP="00FA758B">
      <w:pPr>
        <w:numPr>
          <w:ilvl w:val="0"/>
          <w:numId w:val="21"/>
        </w:numPr>
        <w:tabs>
          <w:tab w:val="clear" w:pos="360"/>
          <w:tab w:val="left" w:pos="864"/>
        </w:tabs>
        <w:spacing w:before="45" w:line="238"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Mother and baby room</w:t>
      </w:r>
    </w:p>
    <w:p w14:paraId="63BF65CF" w14:textId="77777777" w:rsidR="00FA758B" w:rsidRPr="00170B70" w:rsidRDefault="00FA758B" w:rsidP="00FA758B">
      <w:pPr>
        <w:numPr>
          <w:ilvl w:val="0"/>
          <w:numId w:val="21"/>
        </w:numPr>
        <w:tabs>
          <w:tab w:val="clear" w:pos="360"/>
          <w:tab w:val="left" w:pos="864"/>
        </w:tabs>
        <w:spacing w:before="40" w:line="238"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Prayer Room</w:t>
      </w:r>
    </w:p>
    <w:p w14:paraId="40B1A432" w14:textId="77777777" w:rsidR="00FA758B" w:rsidRPr="00170B70" w:rsidRDefault="00FA758B" w:rsidP="00FA758B">
      <w:pPr>
        <w:numPr>
          <w:ilvl w:val="0"/>
          <w:numId w:val="21"/>
        </w:numPr>
        <w:tabs>
          <w:tab w:val="clear" w:pos="360"/>
          <w:tab w:val="left" w:pos="864"/>
        </w:tabs>
        <w:spacing w:before="45" w:line="237"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Food and drinks machines</w:t>
      </w:r>
    </w:p>
    <w:p w14:paraId="79F4DE83" w14:textId="430AAE67" w:rsidR="00FA758B" w:rsidRPr="00170B70" w:rsidRDefault="00FA758B" w:rsidP="00FA758B">
      <w:pPr>
        <w:numPr>
          <w:ilvl w:val="0"/>
          <w:numId w:val="21"/>
        </w:numPr>
        <w:tabs>
          <w:tab w:val="clear" w:pos="360"/>
          <w:tab w:val="left" w:pos="864"/>
        </w:tabs>
        <w:spacing w:before="42" w:line="238" w:lineRule="exact"/>
        <w:ind w:left="504"/>
        <w:jc w:val="both"/>
        <w:textAlignment w:val="baseline"/>
        <w:rPr>
          <w:rFonts w:ascii="Aptos" w:eastAsia="Calibri" w:hAnsi="Aptos" w:cstheme="minorHAnsi"/>
          <w:color w:val="000000"/>
          <w:sz w:val="22"/>
          <w:szCs w:val="22"/>
        </w:rPr>
      </w:pPr>
      <w:r w:rsidRPr="00170B70">
        <w:rPr>
          <w:rFonts w:ascii="Aptos" w:eastAsia="Calibri" w:hAnsi="Aptos" w:cstheme="minorHAnsi"/>
          <w:color w:val="000000"/>
          <w:sz w:val="22"/>
          <w:szCs w:val="22"/>
        </w:rPr>
        <w:t>Car parking.</w:t>
      </w:r>
    </w:p>
    <w:p w14:paraId="42094B50" w14:textId="77777777" w:rsidR="00FA758B" w:rsidRPr="009D07B7" w:rsidRDefault="00FA758B" w:rsidP="00FA758B">
      <w:pPr>
        <w:spacing w:before="269" w:line="268" w:lineRule="exact"/>
        <w:ind w:left="144" w:right="216"/>
        <w:jc w:val="both"/>
        <w:textAlignment w:val="baseline"/>
        <w:rPr>
          <w:rFonts w:ascii="Aptos" w:eastAsia="Calibri" w:hAnsi="Aptos" w:cstheme="minorHAnsi"/>
          <w:color w:val="000000"/>
          <w:sz w:val="22"/>
          <w:szCs w:val="22"/>
        </w:rPr>
      </w:pPr>
      <w:r w:rsidRPr="009D07B7">
        <w:rPr>
          <w:rFonts w:ascii="Aptos" w:eastAsia="Calibri" w:hAnsi="Aptos" w:cstheme="minorHAnsi"/>
          <w:color w:val="000000"/>
          <w:sz w:val="22"/>
          <w:szCs w:val="22"/>
        </w:rPr>
        <w:t xml:space="preserve">This is a non-exhaustive list and acts as an indication of which kind of facilities should be included. It applies to facilities provided by the hirer and therefore these facilities will usually be on site. Hirers can provide agency workers with information about their facilities, for example as part of an induction pack, or provide information to </w:t>
      </w:r>
      <w:r w:rsidRPr="009D07B7">
        <w:rPr>
          <w:rFonts w:ascii="Aptos" w:eastAsia="Calibri" w:hAnsi="Aptos" w:cstheme="minorHAnsi"/>
          <w:sz w:val="22"/>
          <w:szCs w:val="22"/>
        </w:rPr>
        <w:t xml:space="preserve">the TWA </w:t>
      </w:r>
      <w:r w:rsidRPr="009D07B7">
        <w:rPr>
          <w:rFonts w:ascii="Aptos" w:eastAsia="Calibri" w:hAnsi="Aptos" w:cstheme="minorHAnsi"/>
          <w:color w:val="000000"/>
          <w:sz w:val="22"/>
          <w:szCs w:val="22"/>
        </w:rPr>
        <w:t>to pass to the agency worker as part of the information about the assignment.</w:t>
      </w:r>
    </w:p>
    <w:p w14:paraId="799B227C" w14:textId="2E7C5B7B" w:rsidR="00FA758B" w:rsidRPr="009D07B7" w:rsidRDefault="00FA758B" w:rsidP="00FA758B">
      <w:pPr>
        <w:spacing w:before="269" w:line="268" w:lineRule="exact"/>
        <w:ind w:left="144" w:right="216"/>
        <w:jc w:val="both"/>
        <w:textAlignment w:val="baseline"/>
        <w:rPr>
          <w:rFonts w:ascii="Aptos" w:eastAsia="Calibri" w:hAnsi="Aptos" w:cstheme="minorHAnsi"/>
          <w:color w:val="000000"/>
          <w:sz w:val="22"/>
          <w:szCs w:val="22"/>
        </w:rPr>
      </w:pPr>
      <w:r w:rsidRPr="009D07B7">
        <w:rPr>
          <w:rFonts w:ascii="Aptos" w:eastAsia="Calibri" w:hAnsi="Aptos" w:cstheme="minorHAnsi"/>
          <w:color w:val="000000"/>
          <w:sz w:val="22"/>
          <w:szCs w:val="22"/>
        </w:rPr>
        <w:t>The hirer is responsible for providing equal treatment for day 1 entitlements and is liable for any breach of this obligation given that the TWA has no control over providing the agency worker with access to facilities when they are on an assignment.</w:t>
      </w:r>
    </w:p>
    <w:p w14:paraId="4F86FADD" w14:textId="5AEFE74B" w:rsidR="00FA758B" w:rsidRPr="009D07B7" w:rsidRDefault="00FA758B" w:rsidP="00FA758B">
      <w:pPr>
        <w:spacing w:before="269" w:line="268" w:lineRule="exact"/>
        <w:ind w:left="144" w:right="216"/>
        <w:jc w:val="both"/>
        <w:textAlignment w:val="baseline"/>
        <w:rPr>
          <w:rFonts w:ascii="Aptos" w:eastAsia="Calibri" w:hAnsi="Aptos" w:cstheme="minorHAnsi"/>
          <w:color w:val="000000"/>
          <w:sz w:val="22"/>
          <w:szCs w:val="22"/>
        </w:rPr>
      </w:pPr>
      <w:r w:rsidRPr="009D07B7">
        <w:rPr>
          <w:rFonts w:ascii="Aptos" w:eastAsia="Calibri" w:hAnsi="Aptos" w:cstheme="minorHAnsi"/>
          <w:b/>
          <w:color w:val="000000"/>
          <w:sz w:val="22"/>
          <w:szCs w:val="22"/>
        </w:rPr>
        <w:t>Access to Information on Job Vacancies</w:t>
      </w:r>
    </w:p>
    <w:p w14:paraId="0852C808" w14:textId="34EC21CD" w:rsidR="00FA758B" w:rsidRPr="009D07B7" w:rsidRDefault="00FA758B" w:rsidP="00871D49">
      <w:pPr>
        <w:spacing w:before="269" w:line="268" w:lineRule="exact"/>
        <w:ind w:left="144" w:right="216"/>
        <w:jc w:val="both"/>
        <w:textAlignment w:val="baseline"/>
        <w:rPr>
          <w:rFonts w:ascii="Aptos" w:eastAsia="Calibri" w:hAnsi="Aptos" w:cstheme="minorHAnsi"/>
          <w:color w:val="000000"/>
          <w:sz w:val="22"/>
          <w:szCs w:val="22"/>
        </w:rPr>
      </w:pPr>
      <w:r w:rsidRPr="009D07B7">
        <w:rPr>
          <w:rFonts w:ascii="Aptos" w:eastAsia="Calibri" w:hAnsi="Aptos" w:cstheme="minorHAnsi"/>
          <w:color w:val="000000"/>
          <w:sz w:val="22"/>
          <w:szCs w:val="22"/>
        </w:rPr>
        <w:t>All agency workers will be entitled to be provided with information about any relevant job vacancies within the hirer that would be available to a comparable employee. The hirer should inform the agency worker where and how to access the vacancy information e.g. the Schools Recruitment Service website.</w:t>
      </w:r>
    </w:p>
    <w:p w14:paraId="6AD082EA" w14:textId="77777777" w:rsidR="00FA758B" w:rsidRPr="002D3472" w:rsidRDefault="00FA758B" w:rsidP="00FA758B">
      <w:pPr>
        <w:pBdr>
          <w:top w:val="single" w:sz="4" w:space="4" w:color="auto"/>
          <w:left w:val="single" w:sz="4" w:space="4" w:color="auto"/>
          <w:bottom w:val="single" w:sz="4" w:space="4" w:color="auto"/>
          <w:right w:val="single" w:sz="4" w:space="4" w:color="auto"/>
        </w:pBdr>
        <w:shd w:val="clear" w:color="auto" w:fill="BFBFBF" w:themeFill="background1" w:themeFillShade="BF"/>
        <w:tabs>
          <w:tab w:val="left" w:pos="864"/>
        </w:tabs>
        <w:spacing w:before="313" w:line="226" w:lineRule="exact"/>
        <w:ind w:left="144"/>
        <w:textAlignment w:val="baseline"/>
        <w:rPr>
          <w:rFonts w:ascii="Aptos" w:eastAsia="Calibri" w:hAnsi="Aptos" w:cstheme="minorHAnsi"/>
          <w:b/>
          <w:color w:val="000000"/>
          <w:sz w:val="22"/>
          <w:szCs w:val="22"/>
        </w:rPr>
      </w:pPr>
      <w:r w:rsidRPr="002D3472">
        <w:rPr>
          <w:rFonts w:ascii="Aptos" w:eastAsia="Calibri" w:hAnsi="Aptos" w:cstheme="minorHAnsi"/>
          <w:b/>
          <w:color w:val="000000"/>
          <w:sz w:val="22"/>
          <w:szCs w:val="22"/>
        </w:rPr>
        <w:t>3.</w:t>
      </w:r>
      <w:r w:rsidRPr="002D3472">
        <w:rPr>
          <w:rFonts w:ascii="Aptos" w:eastAsia="Calibri" w:hAnsi="Aptos" w:cstheme="minorHAnsi"/>
          <w:b/>
          <w:color w:val="000000"/>
          <w:sz w:val="22"/>
          <w:szCs w:val="22"/>
        </w:rPr>
        <w:tab/>
        <w:t>Rights after 12 weeks in the same job with same hirer</w:t>
      </w:r>
    </w:p>
    <w:p w14:paraId="5C3B4B0F" w14:textId="77777777" w:rsidR="00FA758B" w:rsidRPr="002D3472" w:rsidRDefault="00FA758B" w:rsidP="00871D49">
      <w:pPr>
        <w:spacing w:before="269" w:line="268" w:lineRule="exact"/>
        <w:ind w:left="144" w:right="216"/>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After completing a qualifying period of 12 continuous calendar weeks with the same hirer, in the same role, agency workers will be entitled to have the same basic working and employment conditions as if they had been employed directly by the hirer. These are:</w:t>
      </w:r>
    </w:p>
    <w:p w14:paraId="69BB689F" w14:textId="77777777" w:rsidR="00FA758B" w:rsidRPr="002D3472" w:rsidRDefault="00FA758B" w:rsidP="00FA758B">
      <w:pPr>
        <w:tabs>
          <w:tab w:val="left" w:pos="360"/>
          <w:tab w:val="left" w:pos="864"/>
        </w:tabs>
        <w:ind w:left="864"/>
        <w:jc w:val="both"/>
        <w:textAlignment w:val="baseline"/>
        <w:rPr>
          <w:rFonts w:ascii="Aptos" w:eastAsia="Calibri" w:hAnsi="Aptos" w:cstheme="minorHAnsi"/>
          <w:color w:val="000000"/>
          <w:spacing w:val="1"/>
          <w:sz w:val="22"/>
          <w:szCs w:val="22"/>
        </w:rPr>
      </w:pPr>
    </w:p>
    <w:p w14:paraId="55A9845C" w14:textId="77777777" w:rsidR="00FA758B" w:rsidRPr="002D3472" w:rsidRDefault="00FA758B" w:rsidP="00FA758B">
      <w:pPr>
        <w:numPr>
          <w:ilvl w:val="0"/>
          <w:numId w:val="21"/>
        </w:numPr>
        <w:tabs>
          <w:tab w:val="clear" w:pos="360"/>
          <w:tab w:val="left" w:pos="864"/>
        </w:tabs>
        <w:ind w:left="86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Key elements of “pay” (see below)</w:t>
      </w:r>
    </w:p>
    <w:p w14:paraId="6347AD23" w14:textId="77777777" w:rsidR="00FA758B" w:rsidRPr="002D3472" w:rsidRDefault="00FA758B" w:rsidP="00FA758B">
      <w:pPr>
        <w:numPr>
          <w:ilvl w:val="0"/>
          <w:numId w:val="21"/>
        </w:numPr>
        <w:tabs>
          <w:tab w:val="clear" w:pos="360"/>
          <w:tab w:val="left" w:pos="864"/>
        </w:tabs>
        <w:spacing w:before="45"/>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Duration of working time</w:t>
      </w:r>
    </w:p>
    <w:p w14:paraId="4FCA113F" w14:textId="77777777" w:rsidR="00FA758B" w:rsidRPr="002D3472" w:rsidRDefault="00FA758B" w:rsidP="00FA758B">
      <w:pPr>
        <w:numPr>
          <w:ilvl w:val="0"/>
          <w:numId w:val="21"/>
        </w:numPr>
        <w:tabs>
          <w:tab w:val="clear" w:pos="360"/>
          <w:tab w:val="left" w:pos="864"/>
        </w:tabs>
        <w:spacing w:before="40" w:line="238" w:lineRule="exact"/>
        <w:ind w:left="86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Night work</w:t>
      </w:r>
    </w:p>
    <w:p w14:paraId="16048F8E" w14:textId="77777777" w:rsidR="00FA758B" w:rsidRPr="002D3472" w:rsidRDefault="00FA758B" w:rsidP="00FA758B">
      <w:pPr>
        <w:numPr>
          <w:ilvl w:val="0"/>
          <w:numId w:val="21"/>
        </w:numPr>
        <w:tabs>
          <w:tab w:val="clear" w:pos="360"/>
          <w:tab w:val="left" w:pos="864"/>
        </w:tabs>
        <w:spacing w:before="40" w:line="239" w:lineRule="exact"/>
        <w:ind w:left="86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Rest periods</w:t>
      </w:r>
    </w:p>
    <w:p w14:paraId="4804031E" w14:textId="77777777" w:rsidR="00FA758B" w:rsidRPr="002D3472" w:rsidRDefault="00FA758B" w:rsidP="00FA758B">
      <w:pPr>
        <w:numPr>
          <w:ilvl w:val="0"/>
          <w:numId w:val="21"/>
        </w:numPr>
        <w:tabs>
          <w:tab w:val="clear" w:pos="360"/>
          <w:tab w:val="left" w:pos="864"/>
        </w:tabs>
        <w:spacing w:before="45" w:line="237" w:lineRule="exact"/>
        <w:ind w:left="86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Rest breaks</w:t>
      </w:r>
    </w:p>
    <w:p w14:paraId="5CF86924" w14:textId="77777777" w:rsidR="00FA758B" w:rsidRPr="002D3472" w:rsidRDefault="00FA758B" w:rsidP="00FA758B">
      <w:pPr>
        <w:numPr>
          <w:ilvl w:val="0"/>
          <w:numId w:val="21"/>
        </w:numPr>
        <w:tabs>
          <w:tab w:val="clear" w:pos="360"/>
          <w:tab w:val="left" w:pos="864"/>
        </w:tabs>
        <w:spacing w:before="41" w:line="237" w:lineRule="exact"/>
        <w:ind w:left="86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Annual leave</w:t>
      </w:r>
    </w:p>
    <w:p w14:paraId="40E682B7" w14:textId="317DA78F" w:rsidR="00FA758B" w:rsidRPr="002D3472" w:rsidRDefault="00FA758B" w:rsidP="00FA758B">
      <w:pPr>
        <w:numPr>
          <w:ilvl w:val="0"/>
          <w:numId w:val="21"/>
        </w:numPr>
        <w:tabs>
          <w:tab w:val="clear" w:pos="360"/>
          <w:tab w:val="left" w:pos="864"/>
        </w:tabs>
        <w:spacing w:before="41" w:line="239"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Paid time off for ante natal appointments.</w:t>
      </w:r>
    </w:p>
    <w:p w14:paraId="66316AE3" w14:textId="77777777" w:rsidR="00FA758B" w:rsidRPr="002D3472" w:rsidRDefault="00FA758B" w:rsidP="00FA758B">
      <w:pPr>
        <w:tabs>
          <w:tab w:val="left" w:pos="360"/>
          <w:tab w:val="left" w:pos="864"/>
        </w:tabs>
        <w:spacing w:before="41" w:line="239" w:lineRule="exact"/>
        <w:ind w:left="864"/>
        <w:jc w:val="both"/>
        <w:textAlignment w:val="baseline"/>
        <w:rPr>
          <w:rFonts w:ascii="Aptos" w:eastAsia="Calibri" w:hAnsi="Aptos" w:cstheme="minorHAnsi"/>
          <w:color w:val="000000"/>
          <w:sz w:val="22"/>
          <w:szCs w:val="22"/>
        </w:rPr>
      </w:pPr>
    </w:p>
    <w:p w14:paraId="10DE8074" w14:textId="1A05BE63" w:rsidR="00FA758B" w:rsidRPr="002D3472" w:rsidRDefault="00871D49" w:rsidP="00FA758B">
      <w:pPr>
        <w:tabs>
          <w:tab w:val="left" w:pos="864"/>
        </w:tabs>
        <w:spacing w:before="41" w:line="239" w:lineRule="exact"/>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 xml:space="preserve">   </w:t>
      </w:r>
      <w:r w:rsidR="00FA758B" w:rsidRPr="002D3472">
        <w:rPr>
          <w:rFonts w:ascii="Aptos" w:eastAsia="Calibri" w:hAnsi="Aptos" w:cstheme="minorHAnsi"/>
          <w:color w:val="000000"/>
          <w:sz w:val="22"/>
          <w:szCs w:val="22"/>
        </w:rPr>
        <w:t>‘Pay’ includes:</w:t>
      </w:r>
    </w:p>
    <w:p w14:paraId="42F28A87" w14:textId="77777777" w:rsidR="00FA758B" w:rsidRPr="002D3472" w:rsidRDefault="00FA758B" w:rsidP="00FA758B">
      <w:pPr>
        <w:numPr>
          <w:ilvl w:val="0"/>
          <w:numId w:val="21"/>
        </w:numPr>
        <w:tabs>
          <w:tab w:val="clear" w:pos="360"/>
          <w:tab w:val="left" w:pos="864"/>
        </w:tabs>
        <w:spacing w:before="283" w:line="269" w:lineRule="exact"/>
        <w:ind w:left="864" w:right="14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Basic pay based on the annual salary an agency worker would have received if recruited directly (usually converted into hourly or daily rate, taking into account any pay increments)</w:t>
      </w:r>
    </w:p>
    <w:p w14:paraId="6DB93335" w14:textId="77777777" w:rsidR="00FA758B" w:rsidRPr="002D3472" w:rsidRDefault="00FA758B" w:rsidP="00FA758B">
      <w:pPr>
        <w:numPr>
          <w:ilvl w:val="0"/>
          <w:numId w:val="21"/>
        </w:numPr>
        <w:tabs>
          <w:tab w:val="clear" w:pos="360"/>
          <w:tab w:val="left" w:pos="864"/>
        </w:tabs>
        <w:spacing w:before="40"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Overtime payments, subject to meeting the qualifying criteria for overtime</w:t>
      </w:r>
    </w:p>
    <w:p w14:paraId="74EE741C" w14:textId="77777777" w:rsidR="00FA758B" w:rsidRPr="002D3472" w:rsidRDefault="00FA758B" w:rsidP="00FA758B">
      <w:pPr>
        <w:numPr>
          <w:ilvl w:val="0"/>
          <w:numId w:val="21"/>
        </w:numPr>
        <w:tabs>
          <w:tab w:val="clear" w:pos="360"/>
          <w:tab w:val="left" w:pos="864"/>
        </w:tabs>
        <w:spacing w:before="41"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 xml:space="preserve">Shift/unsocial </w:t>
      </w:r>
      <w:proofErr w:type="gramStart"/>
      <w:r w:rsidRPr="002D3472">
        <w:rPr>
          <w:rFonts w:ascii="Aptos" w:eastAsia="Calibri" w:hAnsi="Aptos" w:cstheme="minorHAnsi"/>
          <w:color w:val="000000"/>
          <w:sz w:val="22"/>
          <w:szCs w:val="22"/>
        </w:rPr>
        <w:t>hours</w:t>
      </w:r>
      <w:proofErr w:type="gramEnd"/>
      <w:r w:rsidRPr="002D3472">
        <w:rPr>
          <w:rFonts w:ascii="Aptos" w:eastAsia="Calibri" w:hAnsi="Aptos" w:cstheme="minorHAnsi"/>
          <w:color w:val="000000"/>
          <w:sz w:val="22"/>
          <w:szCs w:val="22"/>
        </w:rPr>
        <w:t xml:space="preserve"> allowances, risk payments for hazardous duties</w:t>
      </w:r>
    </w:p>
    <w:p w14:paraId="7AE939C0" w14:textId="3C91F2B7" w:rsidR="00FA758B" w:rsidRPr="002D3472" w:rsidRDefault="00FA758B" w:rsidP="00FA758B">
      <w:pPr>
        <w:numPr>
          <w:ilvl w:val="0"/>
          <w:numId w:val="21"/>
        </w:numPr>
        <w:tabs>
          <w:tab w:val="clear" w:pos="360"/>
          <w:tab w:val="left" w:pos="864"/>
        </w:tabs>
        <w:spacing w:before="14" w:line="269" w:lineRule="exact"/>
        <w:ind w:left="864" w:right="360"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Payment for annual leave (any element above the statutory minimum of 5.6 weeks can be added to the hourly or daily rate).</w:t>
      </w:r>
    </w:p>
    <w:p w14:paraId="60596406" w14:textId="7F0618E7" w:rsidR="00FA758B" w:rsidRPr="002D3472" w:rsidRDefault="00FA758B" w:rsidP="00FA758B">
      <w:pPr>
        <w:spacing w:before="311" w:line="226" w:lineRule="exact"/>
        <w:ind w:left="14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‘Pay’ excludes:</w:t>
      </w:r>
    </w:p>
    <w:p w14:paraId="605F1BF6" w14:textId="77777777" w:rsidR="00FA758B" w:rsidRPr="002D3472" w:rsidRDefault="00FA758B" w:rsidP="00FA758B">
      <w:pPr>
        <w:numPr>
          <w:ilvl w:val="0"/>
          <w:numId w:val="21"/>
        </w:numPr>
        <w:tabs>
          <w:tab w:val="clear" w:pos="360"/>
          <w:tab w:val="left" w:pos="540"/>
          <w:tab w:val="left" w:pos="864"/>
        </w:tabs>
        <w:spacing w:before="309" w:line="239" w:lineRule="exact"/>
        <w:ind w:left="86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Occupational sick pay</w:t>
      </w:r>
    </w:p>
    <w:p w14:paraId="3BC087C8" w14:textId="77777777" w:rsidR="00FA758B" w:rsidRPr="002D3472" w:rsidRDefault="00FA758B" w:rsidP="00FA758B">
      <w:pPr>
        <w:numPr>
          <w:ilvl w:val="0"/>
          <w:numId w:val="21"/>
        </w:numPr>
        <w:tabs>
          <w:tab w:val="clear" w:pos="360"/>
          <w:tab w:val="left" w:pos="864"/>
        </w:tabs>
        <w:spacing w:before="40"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 xml:space="preserve">Occupational pension </w:t>
      </w:r>
    </w:p>
    <w:p w14:paraId="6425CE35" w14:textId="77777777" w:rsidR="00FA758B" w:rsidRPr="002D3472" w:rsidRDefault="00FA758B" w:rsidP="00FA758B">
      <w:pPr>
        <w:numPr>
          <w:ilvl w:val="0"/>
          <w:numId w:val="21"/>
        </w:numPr>
        <w:tabs>
          <w:tab w:val="clear" w:pos="360"/>
          <w:tab w:val="left" w:pos="864"/>
        </w:tabs>
        <w:spacing w:before="45"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Occupational maternity, paternity, or adoption pay</w:t>
      </w:r>
    </w:p>
    <w:p w14:paraId="1964BD32" w14:textId="77777777" w:rsidR="00FA758B" w:rsidRPr="002D3472" w:rsidRDefault="00FA758B" w:rsidP="00FA758B">
      <w:pPr>
        <w:numPr>
          <w:ilvl w:val="0"/>
          <w:numId w:val="21"/>
        </w:numPr>
        <w:tabs>
          <w:tab w:val="clear" w:pos="360"/>
          <w:tab w:val="left" w:pos="864"/>
        </w:tabs>
        <w:spacing w:before="40" w:line="239"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Other contractual and statutory paid leave (such as compassionate leave and Jury Service)</w:t>
      </w:r>
    </w:p>
    <w:p w14:paraId="48BAD6E5" w14:textId="77777777" w:rsidR="00FA758B" w:rsidRPr="002D3472" w:rsidRDefault="00FA758B" w:rsidP="00FA758B">
      <w:pPr>
        <w:numPr>
          <w:ilvl w:val="0"/>
          <w:numId w:val="21"/>
        </w:numPr>
        <w:tabs>
          <w:tab w:val="clear" w:pos="360"/>
          <w:tab w:val="left" w:pos="864"/>
        </w:tabs>
        <w:spacing w:before="45"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Redundancy pay (Statutory or Discretionary)</w:t>
      </w:r>
    </w:p>
    <w:p w14:paraId="42D2DDB7" w14:textId="77777777" w:rsidR="00FA758B" w:rsidRPr="002D3472" w:rsidRDefault="00FA758B" w:rsidP="00FA758B">
      <w:pPr>
        <w:numPr>
          <w:ilvl w:val="0"/>
          <w:numId w:val="21"/>
        </w:numPr>
        <w:tabs>
          <w:tab w:val="clear" w:pos="360"/>
          <w:tab w:val="left" w:pos="864"/>
        </w:tabs>
        <w:spacing w:before="40"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Notice pay (Statutory or Discretionary)</w:t>
      </w:r>
    </w:p>
    <w:p w14:paraId="2E909D1C" w14:textId="77777777" w:rsidR="00FA758B" w:rsidRPr="002D3472" w:rsidRDefault="00FA758B" w:rsidP="00FA758B">
      <w:pPr>
        <w:numPr>
          <w:ilvl w:val="0"/>
          <w:numId w:val="21"/>
        </w:numPr>
        <w:tabs>
          <w:tab w:val="clear" w:pos="360"/>
          <w:tab w:val="left" w:pos="864"/>
        </w:tabs>
        <w:spacing w:before="40" w:line="239"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Payment for time off for Trade Union duties</w:t>
      </w:r>
    </w:p>
    <w:p w14:paraId="7CE7F6A9" w14:textId="77777777" w:rsidR="00FA758B" w:rsidRPr="002D3472" w:rsidRDefault="00FA758B" w:rsidP="00FA758B">
      <w:pPr>
        <w:numPr>
          <w:ilvl w:val="0"/>
          <w:numId w:val="21"/>
        </w:numPr>
        <w:tabs>
          <w:tab w:val="clear" w:pos="360"/>
          <w:tab w:val="left" w:pos="864"/>
        </w:tabs>
        <w:spacing w:before="45"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Guarantee payments as they apply to directly recruited staff if laid off</w:t>
      </w:r>
    </w:p>
    <w:p w14:paraId="69EEBA23" w14:textId="77777777" w:rsidR="00FA758B" w:rsidRPr="002D3472" w:rsidRDefault="00FA758B" w:rsidP="00FA758B">
      <w:pPr>
        <w:numPr>
          <w:ilvl w:val="0"/>
          <w:numId w:val="21"/>
        </w:numPr>
        <w:tabs>
          <w:tab w:val="clear" w:pos="360"/>
          <w:tab w:val="left" w:pos="864"/>
        </w:tabs>
        <w:spacing w:before="40"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Advances in pay or loan e.g., for season tickets</w:t>
      </w:r>
    </w:p>
    <w:p w14:paraId="0667BD97" w14:textId="77777777" w:rsidR="00FA758B" w:rsidRPr="002D3472" w:rsidRDefault="00FA758B" w:rsidP="00FA758B">
      <w:pPr>
        <w:numPr>
          <w:ilvl w:val="0"/>
          <w:numId w:val="21"/>
        </w:numPr>
        <w:tabs>
          <w:tab w:val="clear" w:pos="360"/>
          <w:tab w:val="left" w:pos="864"/>
        </w:tabs>
        <w:spacing w:before="40" w:line="239"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Expenses such as accommodation and travel expenses</w:t>
      </w:r>
    </w:p>
    <w:p w14:paraId="54E0FA68" w14:textId="77777777" w:rsidR="00FA758B" w:rsidRPr="002D3472" w:rsidRDefault="00FA758B" w:rsidP="00FA758B">
      <w:pPr>
        <w:numPr>
          <w:ilvl w:val="0"/>
          <w:numId w:val="21"/>
        </w:numPr>
        <w:tabs>
          <w:tab w:val="clear" w:pos="360"/>
          <w:tab w:val="left" w:pos="864"/>
        </w:tabs>
        <w:spacing w:before="45" w:line="238"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The majority of ‘benefits in kind’ which have a monetary value</w:t>
      </w:r>
    </w:p>
    <w:p w14:paraId="55F35C98" w14:textId="4619212F" w:rsidR="00FA758B" w:rsidRPr="002D3472" w:rsidRDefault="00FA758B" w:rsidP="00FA758B">
      <w:pPr>
        <w:numPr>
          <w:ilvl w:val="0"/>
          <w:numId w:val="21"/>
        </w:numPr>
        <w:tabs>
          <w:tab w:val="clear" w:pos="360"/>
          <w:tab w:val="left" w:pos="864"/>
        </w:tabs>
        <w:spacing w:before="7" w:line="269" w:lineRule="exact"/>
        <w:ind w:left="864" w:right="144" w:hanging="360"/>
        <w:jc w:val="both"/>
        <w:textAlignment w:val="baseline"/>
        <w:rPr>
          <w:rFonts w:ascii="Aptos" w:eastAsia="Calibri" w:hAnsi="Aptos" w:cstheme="minorHAnsi"/>
          <w:color w:val="000000"/>
          <w:spacing w:val="-1"/>
          <w:sz w:val="22"/>
          <w:szCs w:val="22"/>
        </w:rPr>
      </w:pPr>
      <w:r w:rsidRPr="002D3472">
        <w:rPr>
          <w:rFonts w:ascii="Aptos" w:eastAsia="Calibri" w:hAnsi="Aptos" w:cstheme="minorHAnsi"/>
          <w:color w:val="000000"/>
          <w:spacing w:val="-1"/>
          <w:sz w:val="22"/>
          <w:szCs w:val="22"/>
        </w:rPr>
        <w:t>Any bonus or incentive payment that is not directly attributable to the amount or quality of work done by the worker and which is given to a worker for a reason other than the amount or quality of work done such as to encourage the worker’s loyalty or to reward long service.</w:t>
      </w:r>
    </w:p>
    <w:p w14:paraId="743413E0" w14:textId="77777777" w:rsidR="00FA758B" w:rsidRPr="002D3472" w:rsidRDefault="00FA758B" w:rsidP="00FA758B">
      <w:pPr>
        <w:numPr>
          <w:ilvl w:val="0"/>
          <w:numId w:val="22"/>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spacing w:before="309" w:line="229" w:lineRule="exact"/>
        <w:ind w:left="144"/>
        <w:textAlignment w:val="baseline"/>
        <w:rPr>
          <w:rFonts w:ascii="Aptos" w:eastAsia="Calibri" w:hAnsi="Aptos" w:cstheme="minorHAnsi"/>
          <w:b/>
          <w:color w:val="000000"/>
          <w:spacing w:val="-3"/>
          <w:sz w:val="22"/>
          <w:szCs w:val="22"/>
        </w:rPr>
      </w:pPr>
      <w:r w:rsidRPr="002D3472">
        <w:rPr>
          <w:rFonts w:ascii="Aptos" w:eastAsia="Calibri" w:hAnsi="Aptos" w:cstheme="minorHAnsi"/>
          <w:b/>
          <w:color w:val="000000"/>
          <w:spacing w:val="-3"/>
          <w:sz w:val="22"/>
          <w:szCs w:val="22"/>
        </w:rPr>
        <w:t>Calculating the 12 week qualifying period</w:t>
      </w:r>
    </w:p>
    <w:p w14:paraId="0CEB5E5B" w14:textId="77777777" w:rsidR="00FA758B" w:rsidRPr="002D3472" w:rsidRDefault="00FA758B" w:rsidP="00FA758B">
      <w:pPr>
        <w:spacing w:before="268" w:line="269" w:lineRule="exact"/>
        <w:ind w:left="144" w:right="9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The 12 week qualifying period is triggered by working in the same job with the same hirer for 12 calendar weeks. Calendar weeks will be accrued regardless of how many hours the agency worker does on a weekly basis.</w:t>
      </w:r>
    </w:p>
    <w:p w14:paraId="3C8F84C7" w14:textId="77777777" w:rsidR="00FA758B" w:rsidRPr="002D3472" w:rsidRDefault="00FA758B" w:rsidP="00FA758B">
      <w:pPr>
        <w:numPr>
          <w:ilvl w:val="0"/>
          <w:numId w:val="22"/>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spacing w:before="304" w:line="229" w:lineRule="exact"/>
        <w:ind w:left="144"/>
        <w:textAlignment w:val="baseline"/>
        <w:rPr>
          <w:rFonts w:ascii="Aptos" w:eastAsia="Calibri" w:hAnsi="Aptos" w:cstheme="minorHAnsi"/>
          <w:b/>
          <w:color w:val="000000"/>
          <w:spacing w:val="-3"/>
          <w:sz w:val="22"/>
          <w:szCs w:val="22"/>
        </w:rPr>
      </w:pPr>
      <w:r w:rsidRPr="002D3472">
        <w:rPr>
          <w:rFonts w:ascii="Aptos" w:eastAsia="Calibri" w:hAnsi="Aptos" w:cstheme="minorHAnsi"/>
          <w:b/>
          <w:color w:val="000000"/>
          <w:spacing w:val="-3"/>
          <w:sz w:val="22"/>
          <w:szCs w:val="22"/>
        </w:rPr>
        <w:t>Accrual of the 12 week qualifying period</w:t>
      </w:r>
    </w:p>
    <w:p w14:paraId="68E59737" w14:textId="77777777" w:rsidR="00FA758B" w:rsidRPr="002D3472" w:rsidRDefault="00FA758B" w:rsidP="00FA758B">
      <w:pPr>
        <w:spacing w:before="260" w:line="269" w:lineRule="exact"/>
        <w:ind w:left="144" w:right="9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The qualifying period is not retrospective. An agency worker will only start to accrue the 12 weeks qualifying period after the Regulations come into force on 1</w:t>
      </w:r>
      <w:r w:rsidRPr="002D3472">
        <w:rPr>
          <w:rFonts w:ascii="Aptos" w:eastAsia="Calibri" w:hAnsi="Aptos" w:cstheme="minorHAnsi"/>
          <w:color w:val="000000"/>
          <w:sz w:val="22"/>
          <w:szCs w:val="22"/>
          <w:vertAlign w:val="superscript"/>
        </w:rPr>
        <w:t>st</w:t>
      </w:r>
      <w:r w:rsidRPr="002D3472">
        <w:rPr>
          <w:rFonts w:ascii="Aptos" w:eastAsia="Calibri" w:hAnsi="Aptos" w:cstheme="minorHAnsi"/>
          <w:color w:val="000000"/>
          <w:sz w:val="22"/>
          <w:szCs w:val="22"/>
        </w:rPr>
        <w:t xml:space="preserve"> October 2011 even if the assignment started before 1</w:t>
      </w:r>
      <w:r w:rsidRPr="002D3472">
        <w:rPr>
          <w:rFonts w:ascii="Aptos" w:eastAsia="Calibri" w:hAnsi="Aptos" w:cstheme="minorHAnsi"/>
          <w:color w:val="000000"/>
          <w:sz w:val="22"/>
          <w:szCs w:val="22"/>
          <w:vertAlign w:val="superscript"/>
        </w:rPr>
        <w:t>st</w:t>
      </w:r>
      <w:r w:rsidRPr="002D3472">
        <w:rPr>
          <w:rFonts w:ascii="Aptos" w:eastAsia="Calibri" w:hAnsi="Aptos" w:cstheme="minorHAnsi"/>
          <w:color w:val="000000"/>
          <w:sz w:val="22"/>
          <w:szCs w:val="22"/>
        </w:rPr>
        <w:t xml:space="preserve"> October 2011.</w:t>
      </w:r>
    </w:p>
    <w:p w14:paraId="4AE6F96A" w14:textId="77777777" w:rsidR="00FA758B" w:rsidRPr="002D3472" w:rsidRDefault="00FA758B" w:rsidP="00FA758B">
      <w:pPr>
        <w:spacing w:before="276" w:line="269" w:lineRule="exact"/>
        <w:ind w:left="14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An agency worker can qualify for equal treatment after 12 weeks in the same role with the same hirer, regardless of whether they have been supplied by more than one agency over the course of that period of time.</w:t>
      </w:r>
    </w:p>
    <w:p w14:paraId="19FB2895" w14:textId="77777777" w:rsidR="00FA758B" w:rsidRPr="002D3472" w:rsidRDefault="00FA758B" w:rsidP="00FA758B">
      <w:pPr>
        <w:numPr>
          <w:ilvl w:val="0"/>
          <w:numId w:val="22"/>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spacing w:before="309" w:line="229" w:lineRule="exact"/>
        <w:ind w:left="144"/>
        <w:textAlignment w:val="baseline"/>
        <w:rPr>
          <w:rFonts w:ascii="Aptos" w:eastAsia="Calibri" w:hAnsi="Aptos" w:cstheme="minorHAnsi"/>
          <w:b/>
          <w:color w:val="000000"/>
          <w:spacing w:val="-2"/>
          <w:sz w:val="22"/>
          <w:szCs w:val="22"/>
        </w:rPr>
      </w:pPr>
      <w:r w:rsidRPr="002D3472">
        <w:rPr>
          <w:rFonts w:ascii="Aptos" w:eastAsia="Calibri" w:hAnsi="Aptos" w:cstheme="minorHAnsi"/>
          <w:b/>
          <w:color w:val="000000"/>
          <w:spacing w:val="-2"/>
          <w:sz w:val="22"/>
          <w:szCs w:val="22"/>
        </w:rPr>
        <w:t>The Qualifying Clock</w:t>
      </w:r>
    </w:p>
    <w:p w14:paraId="5350A422" w14:textId="77777777" w:rsidR="00FA758B" w:rsidRPr="002D3472" w:rsidRDefault="00FA758B" w:rsidP="00FA758B">
      <w:pPr>
        <w:spacing w:before="276" w:line="269" w:lineRule="exact"/>
        <w:ind w:left="14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The working patterns of agency workers can be irregular. The Regulations therefore provide a range of circumstances in which breaks do not prevent agency workers from completing the qualifying period.</w:t>
      </w:r>
    </w:p>
    <w:p w14:paraId="57B59B8B" w14:textId="77777777" w:rsidR="00FA758B" w:rsidRPr="002D3472" w:rsidRDefault="00FA758B" w:rsidP="00FA758B">
      <w:pPr>
        <w:spacing w:before="276" w:line="269" w:lineRule="exact"/>
        <w:ind w:left="14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These provisions can best be explained by thinking of the qualifying period as a clock which runs from 0 to 12. Sometimes a gap between assignments, or a move to a new assignment, will mean that the clock is reset to 0 and must start again. In other circumstances a break will merely ‘pause’ the clock which will then continue to ‘tick’ when the agency worker returns. In some limited circumstances, the clock will continue to ‘tick’ even if the agency worker is not working on an assignment.</w:t>
      </w:r>
    </w:p>
    <w:p w14:paraId="6D1D129D" w14:textId="77777777" w:rsidR="00FA758B" w:rsidRPr="002D3472" w:rsidRDefault="00FA758B" w:rsidP="00FA758B">
      <w:pPr>
        <w:spacing w:before="311" w:line="227" w:lineRule="exact"/>
        <w:ind w:left="14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Reasons for the Qualifying Clock to reset to zero:</w:t>
      </w:r>
    </w:p>
    <w:p w14:paraId="0F5FF930" w14:textId="77777777" w:rsidR="00FA758B" w:rsidRPr="002D3472" w:rsidRDefault="00FA758B" w:rsidP="00FA758B">
      <w:pPr>
        <w:numPr>
          <w:ilvl w:val="0"/>
          <w:numId w:val="21"/>
        </w:numPr>
        <w:tabs>
          <w:tab w:val="clear" w:pos="360"/>
          <w:tab w:val="left" w:pos="864"/>
        </w:tabs>
        <w:spacing w:before="282" w:line="269" w:lineRule="exact"/>
        <w:ind w:left="864" w:right="90"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Most commonly it will be because an agency worker begins a new assignment with a new hirer</w:t>
      </w:r>
    </w:p>
    <w:p w14:paraId="6FE76C7E" w14:textId="77777777" w:rsidR="00FA758B" w:rsidRPr="002D3472" w:rsidRDefault="00FA758B" w:rsidP="00FA758B">
      <w:pPr>
        <w:numPr>
          <w:ilvl w:val="0"/>
          <w:numId w:val="21"/>
        </w:numPr>
        <w:tabs>
          <w:tab w:val="clear" w:pos="360"/>
          <w:tab w:val="left" w:pos="864"/>
        </w:tabs>
        <w:spacing w:before="309" w:line="239"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 xml:space="preserve">Where an agency worker remains with the same hirer but </w:t>
      </w:r>
      <w:r w:rsidRPr="002D3472">
        <w:rPr>
          <w:rFonts w:ascii="Aptos" w:hAnsi="Aptos" w:cstheme="minorHAnsi"/>
          <w:color w:val="0B0C0C"/>
          <w:sz w:val="22"/>
          <w:szCs w:val="22"/>
        </w:rPr>
        <w:t>takes a new role that is ‘substantively different’</w:t>
      </w:r>
    </w:p>
    <w:p w14:paraId="2F0DAB4C" w14:textId="52D992C9" w:rsidR="008E2E37" w:rsidRPr="005B06F5" w:rsidRDefault="00FA758B" w:rsidP="00583690">
      <w:pPr>
        <w:numPr>
          <w:ilvl w:val="0"/>
          <w:numId w:val="21"/>
        </w:numPr>
        <w:tabs>
          <w:tab w:val="clear" w:pos="360"/>
          <w:tab w:val="left" w:pos="864"/>
        </w:tabs>
        <w:spacing w:before="321" w:line="269" w:lineRule="exact"/>
        <w:ind w:left="864" w:right="216" w:hanging="360"/>
        <w:jc w:val="both"/>
        <w:textAlignment w:val="baseline"/>
        <w:rPr>
          <w:rFonts w:ascii="Aptos" w:eastAsia="Calibri" w:hAnsi="Aptos" w:cstheme="minorHAnsi"/>
          <w:color w:val="000000"/>
          <w:sz w:val="22"/>
          <w:szCs w:val="22"/>
        </w:rPr>
      </w:pPr>
      <w:r w:rsidRPr="005B06F5">
        <w:rPr>
          <w:rFonts w:ascii="Aptos" w:eastAsia="Calibri" w:hAnsi="Aptos" w:cstheme="minorHAnsi"/>
          <w:color w:val="000000"/>
          <w:sz w:val="22"/>
          <w:szCs w:val="22"/>
        </w:rPr>
        <w:t>If there is a break between assignments with the same hirer of more than 6 weeks (which is not one which ‘pauses’ the clock or during which it continues to ‘tick’).</w:t>
      </w:r>
    </w:p>
    <w:p w14:paraId="7BA87CA2" w14:textId="1BA549D2" w:rsidR="00FA758B" w:rsidRPr="002D3472" w:rsidRDefault="00FA758B" w:rsidP="00FA758B">
      <w:pPr>
        <w:spacing w:before="306" w:line="227" w:lineRule="exact"/>
        <w:ind w:left="14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Types of break that will cause the qualifying clock to ‘pause’:</w:t>
      </w:r>
    </w:p>
    <w:p w14:paraId="09C23F34" w14:textId="77777777" w:rsidR="00FA758B" w:rsidRPr="002D3472" w:rsidRDefault="00FA758B" w:rsidP="00FA758B">
      <w:pPr>
        <w:numPr>
          <w:ilvl w:val="0"/>
          <w:numId w:val="21"/>
        </w:numPr>
        <w:tabs>
          <w:tab w:val="clear" w:pos="360"/>
          <w:tab w:val="left" w:pos="864"/>
        </w:tabs>
        <w:spacing w:before="282" w:line="269" w:lineRule="exact"/>
        <w:ind w:left="864" w:right="216"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 break for any reason where the break is no more than 6 calendar weeks and the agency worker returns to the same role with the same hirer</w:t>
      </w:r>
    </w:p>
    <w:p w14:paraId="7BFF542D" w14:textId="77777777" w:rsidR="00FA758B" w:rsidRPr="002D3472" w:rsidRDefault="00FA758B" w:rsidP="00FA758B">
      <w:pPr>
        <w:numPr>
          <w:ilvl w:val="0"/>
          <w:numId w:val="21"/>
        </w:numPr>
        <w:tabs>
          <w:tab w:val="clear" w:pos="360"/>
          <w:tab w:val="left" w:pos="864"/>
          <w:tab w:val="left" w:pos="7830"/>
        </w:tabs>
        <w:spacing w:before="278" w:line="269" w:lineRule="exact"/>
        <w:ind w:left="864" w:right="90"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 break of up to 28 weeks because the agency worker is incapable of work due to sickness or injury</w:t>
      </w:r>
    </w:p>
    <w:p w14:paraId="0D4D3B96" w14:textId="77777777" w:rsidR="00FA758B" w:rsidRPr="002D3472" w:rsidRDefault="00FA758B" w:rsidP="00FA758B">
      <w:pPr>
        <w:jc w:val="both"/>
        <w:rPr>
          <w:rFonts w:ascii="Aptos" w:hAnsi="Aptos" w:cstheme="minorHAnsi"/>
          <w:sz w:val="22"/>
          <w:szCs w:val="22"/>
        </w:rPr>
      </w:pPr>
    </w:p>
    <w:p w14:paraId="66F39912" w14:textId="77777777" w:rsidR="00FA758B" w:rsidRPr="002D3472" w:rsidRDefault="00FA758B" w:rsidP="00FA758B">
      <w:pPr>
        <w:numPr>
          <w:ilvl w:val="0"/>
          <w:numId w:val="21"/>
        </w:numPr>
        <w:tabs>
          <w:tab w:val="clear" w:pos="360"/>
          <w:tab w:val="left" w:pos="864"/>
        </w:tabs>
        <w:spacing w:before="15" w:line="269" w:lineRule="exact"/>
        <w:ind w:left="864" w:hanging="360"/>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Any break which is for the purpose of taking leave to which the agency worker is entitled, including annual leave</w:t>
      </w:r>
    </w:p>
    <w:p w14:paraId="2A442E7E" w14:textId="77777777" w:rsidR="00FA758B" w:rsidRPr="002D3472" w:rsidRDefault="00FA758B" w:rsidP="00FA758B">
      <w:pPr>
        <w:numPr>
          <w:ilvl w:val="0"/>
          <w:numId w:val="21"/>
        </w:numPr>
        <w:tabs>
          <w:tab w:val="clear" w:pos="360"/>
          <w:tab w:val="left" w:pos="864"/>
        </w:tabs>
        <w:spacing w:before="352" w:line="238" w:lineRule="exact"/>
        <w:ind w:left="504"/>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 break up to 28 calendar weeks to allow the agency worker to perform jury service</w:t>
      </w:r>
    </w:p>
    <w:p w14:paraId="14B86148" w14:textId="77777777" w:rsidR="00FA758B" w:rsidRPr="002D3472" w:rsidRDefault="00FA758B" w:rsidP="00FA758B">
      <w:pPr>
        <w:pStyle w:val="ListParagraph"/>
        <w:numPr>
          <w:ilvl w:val="0"/>
          <w:numId w:val="25"/>
        </w:numPr>
        <w:tabs>
          <w:tab w:val="left" w:pos="864"/>
        </w:tabs>
        <w:spacing w:before="352" w:line="238" w:lineRule="exact"/>
        <w:contextualSpacing/>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 break caused by a regular and planned shutdown of the workplace by the hirer (for example at Christmas, or school holidays where the agency worker is hired to work term-time only)</w:t>
      </w:r>
    </w:p>
    <w:p w14:paraId="73C9F43D" w14:textId="77777777" w:rsidR="00FA758B" w:rsidRPr="002D3472" w:rsidRDefault="00FA758B" w:rsidP="00FA758B">
      <w:pPr>
        <w:pStyle w:val="ListParagraph"/>
        <w:tabs>
          <w:tab w:val="left" w:pos="864"/>
        </w:tabs>
        <w:spacing w:before="352" w:line="238" w:lineRule="exact"/>
        <w:ind w:left="864"/>
        <w:contextualSpacing/>
        <w:jc w:val="both"/>
        <w:textAlignment w:val="baseline"/>
        <w:rPr>
          <w:rFonts w:ascii="Aptos" w:eastAsia="Calibri" w:hAnsi="Aptos" w:cstheme="minorHAnsi"/>
          <w:color w:val="000000"/>
          <w:sz w:val="22"/>
          <w:szCs w:val="22"/>
        </w:rPr>
      </w:pPr>
    </w:p>
    <w:p w14:paraId="33B37DFB" w14:textId="09AD72B0" w:rsidR="00FA758B" w:rsidRPr="002D3472" w:rsidRDefault="00FA758B" w:rsidP="00FA758B">
      <w:pPr>
        <w:pStyle w:val="ListParagraph"/>
        <w:numPr>
          <w:ilvl w:val="0"/>
          <w:numId w:val="24"/>
        </w:numPr>
        <w:tabs>
          <w:tab w:val="left" w:pos="864"/>
        </w:tabs>
        <w:spacing w:before="352" w:line="238" w:lineRule="exact"/>
        <w:contextualSpacing/>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A break caused by a strike, lock out or other industrial action at the hirer’s establishment.</w:t>
      </w:r>
    </w:p>
    <w:p w14:paraId="07F4CF78" w14:textId="77777777" w:rsidR="00FA758B" w:rsidRPr="002D3472" w:rsidRDefault="00FA758B" w:rsidP="00FA758B">
      <w:pPr>
        <w:tabs>
          <w:tab w:val="left" w:pos="360"/>
          <w:tab w:val="left" w:pos="864"/>
        </w:tabs>
        <w:ind w:right="505" w:firstLine="45"/>
        <w:jc w:val="both"/>
        <w:textAlignment w:val="baseline"/>
        <w:rPr>
          <w:rFonts w:ascii="Aptos" w:eastAsia="Calibri" w:hAnsi="Aptos" w:cstheme="minorHAnsi"/>
          <w:color w:val="000000"/>
          <w:sz w:val="22"/>
          <w:szCs w:val="22"/>
        </w:rPr>
      </w:pPr>
    </w:p>
    <w:p w14:paraId="55C7DFEF" w14:textId="0E92130B" w:rsidR="00FA758B" w:rsidRPr="002D3472" w:rsidRDefault="00871D49" w:rsidP="00FA758B">
      <w:pPr>
        <w:tabs>
          <w:tab w:val="left" w:pos="360"/>
          <w:tab w:val="left" w:pos="864"/>
        </w:tabs>
        <w:ind w:right="505"/>
        <w:jc w:val="both"/>
        <w:textAlignment w:val="baseline"/>
        <w:rPr>
          <w:rFonts w:ascii="Aptos" w:eastAsia="Calibri" w:hAnsi="Aptos" w:cstheme="minorHAnsi"/>
          <w:color w:val="000000"/>
          <w:sz w:val="22"/>
          <w:szCs w:val="22"/>
        </w:rPr>
      </w:pPr>
      <w:r w:rsidRPr="002D3472">
        <w:rPr>
          <w:rFonts w:ascii="Aptos" w:eastAsia="Calibri" w:hAnsi="Aptos" w:cstheme="minorHAnsi"/>
          <w:color w:val="000000"/>
          <w:sz w:val="22"/>
          <w:szCs w:val="22"/>
        </w:rPr>
        <w:t xml:space="preserve">   </w:t>
      </w:r>
      <w:r w:rsidR="00FA758B" w:rsidRPr="002D3472">
        <w:rPr>
          <w:rFonts w:ascii="Aptos" w:eastAsia="Calibri" w:hAnsi="Aptos" w:cstheme="minorHAnsi"/>
          <w:color w:val="000000"/>
          <w:sz w:val="22"/>
          <w:szCs w:val="22"/>
        </w:rPr>
        <w:t>Breaks where the clock continues to ‘tick’:</w:t>
      </w:r>
    </w:p>
    <w:p w14:paraId="6FE6B1E5" w14:textId="77777777" w:rsidR="00FA758B" w:rsidRPr="00FA758B" w:rsidRDefault="00FA758B" w:rsidP="00FA758B">
      <w:pPr>
        <w:numPr>
          <w:ilvl w:val="0"/>
          <w:numId w:val="21"/>
        </w:numPr>
        <w:tabs>
          <w:tab w:val="clear" w:pos="360"/>
          <w:tab w:val="left" w:pos="864"/>
        </w:tabs>
        <w:spacing w:before="278" w:line="269" w:lineRule="exact"/>
        <w:ind w:left="864" w:right="144" w:hanging="360"/>
        <w:jc w:val="both"/>
        <w:textAlignment w:val="baseline"/>
        <w:rPr>
          <w:rFonts w:asciiTheme="minorHAnsi" w:eastAsia="Calibri" w:hAnsiTheme="minorHAnsi" w:cstheme="minorHAnsi"/>
          <w:color w:val="000000"/>
          <w:sz w:val="22"/>
          <w:szCs w:val="22"/>
        </w:rPr>
      </w:pPr>
      <w:r w:rsidRPr="002D3472">
        <w:rPr>
          <w:rFonts w:ascii="Aptos" w:eastAsia="Calibri" w:hAnsi="Aptos" w:cstheme="minorHAnsi"/>
          <w:color w:val="000000"/>
          <w:sz w:val="22"/>
          <w:szCs w:val="22"/>
        </w:rPr>
        <w:t>Breaks due to pregnancy, childbirth or maternity which takes place during pregnancy and</w:t>
      </w:r>
      <w:r w:rsidRPr="00FA758B">
        <w:rPr>
          <w:rFonts w:asciiTheme="minorHAnsi" w:eastAsia="Calibri" w:hAnsiTheme="minorHAnsi" w:cstheme="minorHAnsi"/>
          <w:color w:val="000000"/>
          <w:sz w:val="22"/>
          <w:szCs w:val="22"/>
        </w:rPr>
        <w:t xml:space="preserve"> up to 26 weeks after childbirth</w:t>
      </w:r>
    </w:p>
    <w:p w14:paraId="00438D17" w14:textId="5E158C19" w:rsidR="00FA758B" w:rsidRPr="003342F8" w:rsidRDefault="00FA758B" w:rsidP="00FA758B">
      <w:pPr>
        <w:numPr>
          <w:ilvl w:val="0"/>
          <w:numId w:val="21"/>
        </w:numPr>
        <w:tabs>
          <w:tab w:val="clear" w:pos="360"/>
          <w:tab w:val="left" w:pos="864"/>
        </w:tabs>
        <w:spacing w:before="315" w:line="238" w:lineRule="exact"/>
        <w:ind w:left="50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Any breaks due to the worker taking maternity leave, adoption leave or paternity leave.</w:t>
      </w:r>
    </w:p>
    <w:p w14:paraId="3A88583D" w14:textId="77777777" w:rsidR="00FA758B" w:rsidRPr="003342F8" w:rsidRDefault="00FA758B" w:rsidP="00FA758B">
      <w:pPr>
        <w:numPr>
          <w:ilvl w:val="0"/>
          <w:numId w:val="23"/>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spacing w:before="309" w:line="229" w:lineRule="exact"/>
        <w:ind w:left="144"/>
        <w:jc w:val="both"/>
        <w:textAlignment w:val="baseline"/>
        <w:rPr>
          <w:rFonts w:ascii="Aptos" w:eastAsia="Calibri" w:hAnsi="Aptos" w:cstheme="minorHAnsi"/>
          <w:b/>
          <w:color w:val="000000"/>
          <w:spacing w:val="-3"/>
          <w:sz w:val="22"/>
          <w:szCs w:val="22"/>
        </w:rPr>
      </w:pPr>
      <w:r w:rsidRPr="003342F8">
        <w:rPr>
          <w:rFonts w:ascii="Aptos" w:eastAsia="Calibri" w:hAnsi="Aptos" w:cstheme="minorHAnsi"/>
          <w:b/>
          <w:color w:val="000000"/>
          <w:spacing w:val="-3"/>
          <w:sz w:val="22"/>
          <w:szCs w:val="22"/>
        </w:rPr>
        <w:t>Anti-Avoidance Provisions</w:t>
      </w:r>
    </w:p>
    <w:p w14:paraId="1BADEE6F" w14:textId="77777777" w:rsidR="00FA758B" w:rsidRPr="003342F8" w:rsidRDefault="00FA758B" w:rsidP="00FA758B">
      <w:pPr>
        <w:spacing w:before="268"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Regulations contain anti-avoidance provisions which prevent a series of assignments being structured so as to prevent an agency worker from completing the qualifying period. The following example illustrates this:</w:t>
      </w:r>
    </w:p>
    <w:p w14:paraId="7AA0EB1E" w14:textId="77777777" w:rsidR="00FA758B" w:rsidRPr="003342F8" w:rsidRDefault="00FA758B" w:rsidP="00FA758B">
      <w:pPr>
        <w:spacing w:before="268" w:line="268" w:lineRule="exact"/>
        <w:ind w:left="720" w:right="144"/>
        <w:jc w:val="both"/>
        <w:textAlignment w:val="baseline"/>
        <w:rPr>
          <w:rFonts w:ascii="Aptos" w:eastAsia="Calibri" w:hAnsi="Aptos" w:cstheme="minorHAnsi"/>
          <w:i/>
          <w:color w:val="000000"/>
          <w:sz w:val="22"/>
          <w:szCs w:val="22"/>
        </w:rPr>
      </w:pPr>
      <w:r w:rsidRPr="003342F8">
        <w:rPr>
          <w:rFonts w:ascii="Aptos" w:eastAsia="Calibri" w:hAnsi="Aptos" w:cstheme="minorHAnsi"/>
          <w:i/>
          <w:color w:val="000000"/>
          <w:sz w:val="22"/>
          <w:szCs w:val="22"/>
        </w:rPr>
        <w:t>An agency worker completes 2 or more assignments with the same hirer, where they have already worked 11 weeks with a 6 week break and then a further 11 weeks with another 6 week break. If the agency worker is then taken on for a third assignment, this could be considered as an attempt to avoid the completion of the qualifying period, but it would need to be clear that the attempt was deliberate. This would be a matter for the employment tribunal in the event of a claim.</w:t>
      </w:r>
    </w:p>
    <w:p w14:paraId="0A68D317" w14:textId="77777777" w:rsidR="00FA758B" w:rsidRDefault="00FA758B" w:rsidP="00FA758B">
      <w:pPr>
        <w:spacing w:before="268"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Regulations stress that there is nothing to prevent a hirer from adopting a policy for not retaining agency workers for more than 11 weeks. However, a pattern of assignments provided to the agency worker that is designed to deprive an agency worker of their entitlements would fall under the anti-avoidance provisions.</w:t>
      </w:r>
    </w:p>
    <w:p w14:paraId="15C476D3" w14:textId="77777777" w:rsidR="004E4B32" w:rsidRPr="003342F8" w:rsidRDefault="004E4B32" w:rsidP="00FA758B">
      <w:pPr>
        <w:spacing w:before="268" w:line="269" w:lineRule="exact"/>
        <w:ind w:left="144"/>
        <w:jc w:val="both"/>
        <w:textAlignment w:val="baseline"/>
        <w:rPr>
          <w:rFonts w:ascii="Aptos" w:eastAsia="Calibri" w:hAnsi="Aptos" w:cstheme="minorHAnsi"/>
          <w:color w:val="000000"/>
          <w:sz w:val="22"/>
          <w:szCs w:val="22"/>
        </w:rPr>
      </w:pPr>
    </w:p>
    <w:p w14:paraId="7276D020" w14:textId="77777777" w:rsidR="00FA758B" w:rsidRPr="003342F8" w:rsidRDefault="00FA758B" w:rsidP="00FA758B">
      <w:pPr>
        <w:numPr>
          <w:ilvl w:val="0"/>
          <w:numId w:val="23"/>
        </w:numPr>
        <w:pBdr>
          <w:top w:val="single" w:sz="4" w:space="4" w:color="auto"/>
          <w:left w:val="single" w:sz="4" w:space="4" w:color="auto"/>
          <w:bottom w:val="single" w:sz="4" w:space="4" w:color="auto"/>
          <w:right w:val="single" w:sz="4" w:space="4" w:color="auto"/>
        </w:pBdr>
        <w:shd w:val="clear" w:color="auto" w:fill="BFBFBF" w:themeFill="background1" w:themeFillShade="BF"/>
        <w:tabs>
          <w:tab w:val="clear" w:pos="720"/>
          <w:tab w:val="left" w:pos="864"/>
        </w:tabs>
        <w:spacing w:before="309" w:line="229" w:lineRule="exact"/>
        <w:ind w:left="144"/>
        <w:jc w:val="both"/>
        <w:textAlignment w:val="baseline"/>
        <w:rPr>
          <w:rFonts w:ascii="Aptos" w:eastAsia="Calibri" w:hAnsi="Aptos" w:cstheme="minorHAnsi"/>
          <w:b/>
          <w:color w:val="000000"/>
          <w:spacing w:val="-3"/>
          <w:sz w:val="22"/>
          <w:szCs w:val="22"/>
        </w:rPr>
      </w:pPr>
      <w:r w:rsidRPr="003342F8">
        <w:rPr>
          <w:rFonts w:ascii="Aptos" w:eastAsia="Calibri" w:hAnsi="Aptos" w:cstheme="minorHAnsi"/>
          <w:b/>
          <w:color w:val="000000"/>
          <w:spacing w:val="-3"/>
          <w:sz w:val="22"/>
          <w:szCs w:val="22"/>
        </w:rPr>
        <w:t>To comply with the Regulations</w:t>
      </w:r>
    </w:p>
    <w:p w14:paraId="531B535C" w14:textId="77777777" w:rsidR="00FA758B" w:rsidRPr="003342F8" w:rsidRDefault="00FA758B" w:rsidP="00FA758B">
      <w:pPr>
        <w:spacing w:before="311" w:line="226"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At the start of the assignment the school must provide the TWA agency with:</w:t>
      </w:r>
    </w:p>
    <w:p w14:paraId="5A59D473" w14:textId="77777777" w:rsidR="00FA758B" w:rsidRPr="003342F8" w:rsidRDefault="00FA758B" w:rsidP="00FA758B">
      <w:pPr>
        <w:numPr>
          <w:ilvl w:val="0"/>
          <w:numId w:val="21"/>
        </w:numPr>
        <w:tabs>
          <w:tab w:val="clear" w:pos="360"/>
          <w:tab w:val="left" w:pos="864"/>
        </w:tabs>
        <w:spacing w:before="309" w:line="239" w:lineRule="exact"/>
        <w:ind w:left="50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 job description including the grade and a person specification</w:t>
      </w:r>
    </w:p>
    <w:p w14:paraId="43382C6C" w14:textId="77777777" w:rsidR="00FA758B" w:rsidRPr="003342F8" w:rsidRDefault="00FA758B" w:rsidP="00FA758B">
      <w:pPr>
        <w:numPr>
          <w:ilvl w:val="0"/>
          <w:numId w:val="21"/>
        </w:numPr>
        <w:tabs>
          <w:tab w:val="clear" w:pos="360"/>
          <w:tab w:val="left" w:pos="864"/>
        </w:tabs>
        <w:spacing w:before="45" w:line="238" w:lineRule="exact"/>
        <w:ind w:left="50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start date and expected duration of the assignment</w:t>
      </w:r>
    </w:p>
    <w:p w14:paraId="5D0D139C" w14:textId="7BAC83D4" w:rsidR="00FA758B" w:rsidRPr="003342F8" w:rsidRDefault="00FA758B" w:rsidP="00FA758B">
      <w:pPr>
        <w:numPr>
          <w:ilvl w:val="0"/>
          <w:numId w:val="21"/>
        </w:numPr>
        <w:tabs>
          <w:tab w:val="clear" w:pos="360"/>
          <w:tab w:val="left" w:pos="864"/>
        </w:tabs>
        <w:spacing w:before="40" w:line="237" w:lineRule="exact"/>
        <w:ind w:left="50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hours of work involved.</w:t>
      </w:r>
    </w:p>
    <w:p w14:paraId="59B6227C" w14:textId="77777777" w:rsidR="00FA758B" w:rsidRPr="003342F8" w:rsidRDefault="00FA758B" w:rsidP="00FA758B">
      <w:pPr>
        <w:spacing w:before="269" w:line="269" w:lineRule="exact"/>
        <w:ind w:left="144" w:right="432"/>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Also ensure that from the first day of their assignment, the agency worker is informed of, and provided with access to: </w:t>
      </w:r>
    </w:p>
    <w:p w14:paraId="3B55CE95" w14:textId="611F6631" w:rsidR="00FA758B" w:rsidRPr="003342F8" w:rsidRDefault="00FB7D7F" w:rsidP="00FA758B">
      <w:pPr>
        <w:pStyle w:val="ListParagraph"/>
        <w:numPr>
          <w:ilvl w:val="0"/>
          <w:numId w:val="24"/>
        </w:numPr>
        <w:spacing w:before="269" w:line="269" w:lineRule="exact"/>
        <w:ind w:right="432"/>
        <w:contextualSpacing/>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A</w:t>
      </w:r>
      <w:r w:rsidR="00FA758B" w:rsidRPr="003342F8">
        <w:rPr>
          <w:rFonts w:ascii="Aptos" w:eastAsia="Calibri" w:hAnsi="Aptos" w:cstheme="minorHAnsi"/>
          <w:color w:val="000000"/>
          <w:sz w:val="22"/>
          <w:szCs w:val="22"/>
        </w:rPr>
        <w:t xml:space="preserve">ll of the hirer’s staff facilities and amenities and </w:t>
      </w:r>
    </w:p>
    <w:p w14:paraId="65E2F44E" w14:textId="7C5155C1" w:rsidR="00FA758B" w:rsidRPr="003342F8" w:rsidRDefault="00FB7D7F" w:rsidP="00FA758B">
      <w:pPr>
        <w:pStyle w:val="ListParagraph"/>
        <w:numPr>
          <w:ilvl w:val="0"/>
          <w:numId w:val="24"/>
        </w:numPr>
        <w:spacing w:before="269" w:line="269" w:lineRule="exact"/>
        <w:ind w:right="432"/>
        <w:contextualSpacing/>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I</w:t>
      </w:r>
      <w:r w:rsidR="00FA758B" w:rsidRPr="003342F8">
        <w:rPr>
          <w:rFonts w:ascii="Aptos" w:eastAsia="Calibri" w:hAnsi="Aptos" w:cstheme="minorHAnsi"/>
          <w:color w:val="000000"/>
          <w:sz w:val="22"/>
          <w:szCs w:val="22"/>
        </w:rPr>
        <w:t>nformation on any job vacancies within the hirer.</w:t>
      </w:r>
    </w:p>
    <w:p w14:paraId="4EC34DCB" w14:textId="77777777" w:rsidR="00FA758B" w:rsidRPr="003342F8" w:rsidRDefault="00FA758B" w:rsidP="00FA758B">
      <w:pPr>
        <w:spacing w:before="12" w:line="269" w:lineRule="exact"/>
        <w:ind w:left="144" w:right="144"/>
        <w:jc w:val="both"/>
        <w:textAlignment w:val="baseline"/>
        <w:rPr>
          <w:rFonts w:ascii="Aptos" w:eastAsia="Calibri" w:hAnsi="Aptos" w:cstheme="minorHAnsi"/>
          <w:color w:val="000000"/>
          <w:sz w:val="22"/>
          <w:szCs w:val="22"/>
        </w:rPr>
      </w:pPr>
    </w:p>
    <w:p w14:paraId="358C4F72" w14:textId="77777777" w:rsidR="00FA758B" w:rsidRPr="003342F8" w:rsidRDefault="00FA758B" w:rsidP="00FA758B">
      <w:pPr>
        <w:spacing w:before="12" w:line="269" w:lineRule="exact"/>
        <w:ind w:left="144"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hirer will need to provide the TWA agency with the details given below if and when an agency worker completes 12 weeks in a given job. As the entitlement to equal treatment begins in week 13, this information should be provided promptly when it is evident that the assignment will last more than 12 weeks:</w:t>
      </w:r>
    </w:p>
    <w:p w14:paraId="62D09510" w14:textId="42D366CD" w:rsidR="00FA758B" w:rsidRPr="003342F8" w:rsidRDefault="00FB7D7F" w:rsidP="00FA758B">
      <w:pPr>
        <w:numPr>
          <w:ilvl w:val="0"/>
          <w:numId w:val="21"/>
        </w:numPr>
        <w:tabs>
          <w:tab w:val="clear" w:pos="360"/>
          <w:tab w:val="left" w:pos="864"/>
        </w:tabs>
        <w:spacing w:before="283" w:line="269" w:lineRule="exact"/>
        <w:ind w:left="864" w:right="144" w:hanging="360"/>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T</w:t>
      </w:r>
      <w:r w:rsidR="00FA758B" w:rsidRPr="003342F8">
        <w:rPr>
          <w:rFonts w:ascii="Aptos" w:eastAsia="Calibri" w:hAnsi="Aptos" w:cstheme="minorHAnsi"/>
          <w:color w:val="000000"/>
          <w:sz w:val="22"/>
          <w:szCs w:val="22"/>
        </w:rPr>
        <w:t xml:space="preserve">he level of basic pay (based on the annual salary an agency worker would have received, as if recruited directly), if and when there are overtime payments and shift/unsocial </w:t>
      </w:r>
      <w:proofErr w:type="gramStart"/>
      <w:r w:rsidR="00FA758B" w:rsidRPr="003342F8">
        <w:rPr>
          <w:rFonts w:ascii="Aptos" w:eastAsia="Calibri" w:hAnsi="Aptos" w:cstheme="minorHAnsi"/>
          <w:color w:val="000000"/>
          <w:sz w:val="22"/>
          <w:szCs w:val="22"/>
        </w:rPr>
        <w:t>hours</w:t>
      </w:r>
      <w:proofErr w:type="gramEnd"/>
      <w:r w:rsidR="00FA758B" w:rsidRPr="003342F8">
        <w:rPr>
          <w:rFonts w:ascii="Aptos" w:eastAsia="Calibri" w:hAnsi="Aptos" w:cstheme="minorHAnsi"/>
          <w:color w:val="000000"/>
          <w:sz w:val="22"/>
          <w:szCs w:val="22"/>
        </w:rPr>
        <w:t xml:space="preserve"> allowances or risk payments for hazardous duties</w:t>
      </w:r>
    </w:p>
    <w:p w14:paraId="76F3800B" w14:textId="130AAF75" w:rsidR="00FA758B" w:rsidRPr="003342F8" w:rsidRDefault="00FB7D7F" w:rsidP="00FA758B">
      <w:pPr>
        <w:numPr>
          <w:ilvl w:val="0"/>
          <w:numId w:val="21"/>
        </w:numPr>
        <w:tabs>
          <w:tab w:val="clear" w:pos="360"/>
          <w:tab w:val="left" w:pos="864"/>
        </w:tabs>
        <w:spacing w:before="278" w:line="269" w:lineRule="exact"/>
        <w:ind w:left="864" w:right="432" w:hanging="360"/>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T</w:t>
      </w:r>
      <w:r w:rsidR="00FA758B" w:rsidRPr="003342F8">
        <w:rPr>
          <w:rFonts w:ascii="Aptos" w:eastAsia="Calibri" w:hAnsi="Aptos" w:cstheme="minorHAnsi"/>
          <w:color w:val="000000"/>
          <w:sz w:val="22"/>
          <w:szCs w:val="22"/>
        </w:rPr>
        <w:t>ypes of bonus schemes the hirer operates (and how individual performance is appraised and information on annual pay increments)</w:t>
      </w:r>
    </w:p>
    <w:p w14:paraId="76842226" w14:textId="5A7A99DD" w:rsidR="00FA758B" w:rsidRPr="003342F8" w:rsidRDefault="00FB7D7F" w:rsidP="00FA758B">
      <w:pPr>
        <w:numPr>
          <w:ilvl w:val="0"/>
          <w:numId w:val="21"/>
        </w:numPr>
        <w:tabs>
          <w:tab w:val="clear" w:pos="360"/>
          <w:tab w:val="left" w:pos="864"/>
        </w:tabs>
        <w:spacing w:before="353" w:line="238" w:lineRule="exact"/>
        <w:ind w:left="504"/>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A</w:t>
      </w:r>
      <w:r w:rsidR="00FA758B" w:rsidRPr="003342F8">
        <w:rPr>
          <w:rFonts w:ascii="Aptos" w:eastAsia="Calibri" w:hAnsi="Aptos" w:cstheme="minorHAnsi"/>
          <w:color w:val="000000"/>
          <w:sz w:val="22"/>
          <w:szCs w:val="22"/>
        </w:rPr>
        <w:t>ny vouchers on offer that have monetary value</w:t>
      </w:r>
    </w:p>
    <w:p w14:paraId="461F0B42" w14:textId="00F9FFBE" w:rsidR="00FA758B" w:rsidRPr="003342F8" w:rsidRDefault="00FB7D7F" w:rsidP="00FA758B">
      <w:pPr>
        <w:numPr>
          <w:ilvl w:val="0"/>
          <w:numId w:val="21"/>
        </w:numPr>
        <w:tabs>
          <w:tab w:val="clear" w:pos="360"/>
          <w:tab w:val="left" w:pos="864"/>
        </w:tabs>
        <w:spacing w:before="347" w:line="238" w:lineRule="exact"/>
        <w:ind w:left="504"/>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A</w:t>
      </w:r>
      <w:r w:rsidR="00FA758B" w:rsidRPr="003342F8">
        <w:rPr>
          <w:rFonts w:ascii="Aptos" w:eastAsia="Calibri" w:hAnsi="Aptos" w:cstheme="minorHAnsi"/>
          <w:color w:val="000000"/>
          <w:sz w:val="22"/>
          <w:szCs w:val="22"/>
        </w:rPr>
        <w:t>nnual holiday entitlement</w:t>
      </w:r>
    </w:p>
    <w:p w14:paraId="2FFFBBC5" w14:textId="2B2F1E6D" w:rsidR="00FA758B" w:rsidRPr="003342F8" w:rsidRDefault="00FB7D7F" w:rsidP="00FA758B">
      <w:pPr>
        <w:numPr>
          <w:ilvl w:val="0"/>
          <w:numId w:val="21"/>
        </w:numPr>
        <w:tabs>
          <w:tab w:val="clear" w:pos="360"/>
          <w:tab w:val="left" w:pos="864"/>
        </w:tabs>
        <w:spacing w:before="347" w:line="238" w:lineRule="exact"/>
        <w:ind w:left="504"/>
        <w:jc w:val="both"/>
        <w:textAlignment w:val="baseline"/>
        <w:rPr>
          <w:rFonts w:ascii="Aptos" w:eastAsia="Calibri" w:hAnsi="Aptos" w:cstheme="minorHAnsi"/>
          <w:color w:val="000000"/>
          <w:sz w:val="22"/>
          <w:szCs w:val="22"/>
        </w:rPr>
      </w:pPr>
      <w:r>
        <w:rPr>
          <w:rFonts w:ascii="Aptos" w:eastAsia="Calibri" w:hAnsi="Aptos" w:cstheme="minorHAnsi"/>
          <w:color w:val="000000"/>
          <w:sz w:val="22"/>
          <w:szCs w:val="22"/>
        </w:rPr>
        <w:t>A</w:t>
      </w:r>
      <w:r w:rsidR="00FA758B" w:rsidRPr="003342F8">
        <w:rPr>
          <w:rFonts w:ascii="Aptos" w:eastAsia="Calibri" w:hAnsi="Aptos" w:cstheme="minorHAnsi"/>
          <w:color w:val="000000"/>
          <w:sz w:val="22"/>
          <w:szCs w:val="22"/>
        </w:rPr>
        <w:t xml:space="preserve">ny known health and safety risks and the prevention measures introduced. </w:t>
      </w:r>
    </w:p>
    <w:p w14:paraId="00D3316A" w14:textId="77777777" w:rsidR="00FA758B" w:rsidRPr="003342F8" w:rsidRDefault="00FA758B" w:rsidP="00FA758B">
      <w:pPr>
        <w:spacing w:before="269" w:line="269" w:lineRule="exact"/>
        <w:ind w:left="144" w:right="288"/>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 template is included at Appendix B.</w:t>
      </w:r>
    </w:p>
    <w:p w14:paraId="411B4F81" w14:textId="77777777" w:rsidR="00FA758B" w:rsidRPr="003342F8"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entitlements that are due after 12 weeks’ qualifying period are the responsibility of the TWA to provide to the agency worker. However, the hirer must co-operate to ensure that the TWA is provided with the required information.</w:t>
      </w:r>
    </w:p>
    <w:p w14:paraId="461E3B75" w14:textId="77777777" w:rsidR="00DE642C"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The TWA is responsible for pay and benefits for the agency worker. </w:t>
      </w:r>
    </w:p>
    <w:p w14:paraId="4FC5D0D8" w14:textId="43D327CF" w:rsidR="00FA758B"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291243">
        <w:rPr>
          <w:rFonts w:ascii="Aptos" w:eastAsia="Calibri" w:hAnsi="Aptos" w:cstheme="minorHAnsi"/>
          <w:color w:val="000000"/>
          <w:sz w:val="22"/>
          <w:szCs w:val="22"/>
        </w:rPr>
        <w:t xml:space="preserve">The TWA must ensure that the agency worker is treated fairly and in compliance with the Regulations working in partnership with the hirer. In addition, the TWA must ensure that all agency workers </w:t>
      </w:r>
      <w:r w:rsidR="001C7CCF" w:rsidRPr="00291243">
        <w:rPr>
          <w:rFonts w:ascii="Aptos" w:eastAsia="Calibri" w:hAnsi="Aptos" w:cstheme="minorHAnsi"/>
          <w:color w:val="000000"/>
          <w:sz w:val="22"/>
          <w:szCs w:val="22"/>
        </w:rPr>
        <w:t>satisfy the eligibility requirements for the rol</w:t>
      </w:r>
      <w:r w:rsidR="00AD2546" w:rsidRPr="00291243">
        <w:rPr>
          <w:rFonts w:ascii="Aptos" w:eastAsia="Calibri" w:hAnsi="Aptos" w:cstheme="minorHAnsi"/>
          <w:color w:val="000000"/>
          <w:sz w:val="22"/>
          <w:szCs w:val="22"/>
        </w:rPr>
        <w:t>e</w:t>
      </w:r>
      <w:r w:rsidR="00C87D91" w:rsidRPr="00291243">
        <w:rPr>
          <w:rFonts w:ascii="Aptos" w:eastAsia="Calibri" w:hAnsi="Aptos" w:cstheme="minorHAnsi"/>
          <w:color w:val="000000"/>
          <w:sz w:val="22"/>
          <w:szCs w:val="22"/>
        </w:rPr>
        <w:t xml:space="preserve"> and that the recruitment criteria under the </w:t>
      </w:r>
      <w:r w:rsidR="00405441" w:rsidRPr="00291243">
        <w:rPr>
          <w:rFonts w:ascii="Aptos" w:eastAsia="Calibri" w:hAnsi="Aptos" w:cstheme="minorHAnsi"/>
          <w:color w:val="000000"/>
          <w:sz w:val="22"/>
          <w:szCs w:val="22"/>
        </w:rPr>
        <w:t xml:space="preserve">prevailing </w:t>
      </w:r>
      <w:hyperlink r:id="rId12" w:history="1">
        <w:proofErr w:type="spellStart"/>
        <w:r w:rsidR="00C87D91" w:rsidRPr="00291243">
          <w:rPr>
            <w:rStyle w:val="Hyperlink"/>
            <w:rFonts w:ascii="Aptos" w:eastAsia="Calibri" w:hAnsi="Aptos" w:cstheme="minorHAnsi"/>
            <w:sz w:val="22"/>
            <w:szCs w:val="22"/>
          </w:rPr>
          <w:t>DfE</w:t>
        </w:r>
        <w:proofErr w:type="spellEnd"/>
        <w:r w:rsidR="00C87D91" w:rsidRPr="00291243">
          <w:rPr>
            <w:rStyle w:val="Hyperlink"/>
            <w:rFonts w:ascii="Aptos" w:eastAsia="Calibri" w:hAnsi="Aptos" w:cstheme="minorHAnsi"/>
            <w:sz w:val="22"/>
            <w:szCs w:val="22"/>
          </w:rPr>
          <w:t xml:space="preserve"> Keeping </w:t>
        </w:r>
        <w:r w:rsidR="00C70553" w:rsidRPr="00291243">
          <w:rPr>
            <w:rStyle w:val="Hyperlink"/>
            <w:rFonts w:ascii="Aptos" w:eastAsia="Calibri" w:hAnsi="Aptos" w:cstheme="minorHAnsi"/>
            <w:sz w:val="22"/>
            <w:szCs w:val="22"/>
          </w:rPr>
          <w:t>C</w:t>
        </w:r>
        <w:r w:rsidR="00C87D91" w:rsidRPr="00291243">
          <w:rPr>
            <w:rStyle w:val="Hyperlink"/>
            <w:rFonts w:ascii="Aptos" w:eastAsia="Calibri" w:hAnsi="Aptos" w:cstheme="minorHAnsi"/>
            <w:sz w:val="22"/>
            <w:szCs w:val="22"/>
          </w:rPr>
          <w:t>hil</w:t>
        </w:r>
        <w:r w:rsidR="008D0E83" w:rsidRPr="00291243">
          <w:rPr>
            <w:rStyle w:val="Hyperlink"/>
            <w:rFonts w:ascii="Aptos" w:eastAsia="Calibri" w:hAnsi="Aptos" w:cstheme="minorHAnsi"/>
            <w:sz w:val="22"/>
            <w:szCs w:val="22"/>
          </w:rPr>
          <w:t>d</w:t>
        </w:r>
        <w:r w:rsidR="00C87D91" w:rsidRPr="00291243">
          <w:rPr>
            <w:rStyle w:val="Hyperlink"/>
            <w:rFonts w:ascii="Aptos" w:eastAsia="Calibri" w:hAnsi="Aptos" w:cstheme="minorHAnsi"/>
            <w:sz w:val="22"/>
            <w:szCs w:val="22"/>
          </w:rPr>
          <w:t>ren Safe in Education</w:t>
        </w:r>
      </w:hyperlink>
      <w:r w:rsidR="00C87D91" w:rsidRPr="00291243">
        <w:rPr>
          <w:rFonts w:ascii="Aptos" w:eastAsia="Calibri" w:hAnsi="Aptos" w:cstheme="minorHAnsi"/>
          <w:color w:val="000000"/>
          <w:sz w:val="22"/>
          <w:szCs w:val="22"/>
        </w:rPr>
        <w:t xml:space="preserve"> (Part 3)</w:t>
      </w:r>
      <w:r w:rsidR="00106024" w:rsidRPr="00291243">
        <w:rPr>
          <w:rFonts w:ascii="Aptos" w:eastAsia="Calibri" w:hAnsi="Aptos" w:cstheme="minorHAnsi"/>
          <w:color w:val="000000"/>
          <w:sz w:val="22"/>
          <w:szCs w:val="22"/>
        </w:rPr>
        <w:t xml:space="preserve"> statutory guidance</w:t>
      </w:r>
      <w:r w:rsidR="00C87D91" w:rsidRPr="00291243">
        <w:rPr>
          <w:rFonts w:ascii="Aptos" w:eastAsia="Calibri" w:hAnsi="Aptos" w:cstheme="minorHAnsi"/>
          <w:color w:val="000000"/>
          <w:sz w:val="22"/>
          <w:szCs w:val="22"/>
        </w:rPr>
        <w:t xml:space="preserve"> and the </w:t>
      </w:r>
      <w:r w:rsidR="008D0E83" w:rsidRPr="00291243">
        <w:rPr>
          <w:rFonts w:ascii="Aptos" w:eastAsia="Calibri" w:hAnsi="Aptos" w:cstheme="minorHAnsi"/>
          <w:color w:val="000000"/>
          <w:sz w:val="22"/>
          <w:szCs w:val="22"/>
        </w:rPr>
        <w:t>provision</w:t>
      </w:r>
      <w:r w:rsidR="00C70553" w:rsidRPr="00291243">
        <w:rPr>
          <w:rFonts w:ascii="Aptos" w:eastAsia="Calibri" w:hAnsi="Aptos" w:cstheme="minorHAnsi"/>
          <w:color w:val="000000"/>
          <w:sz w:val="22"/>
          <w:szCs w:val="22"/>
        </w:rPr>
        <w:t>s</w:t>
      </w:r>
      <w:r w:rsidR="008D0E83" w:rsidRPr="00291243">
        <w:rPr>
          <w:rFonts w:ascii="Aptos" w:eastAsia="Calibri" w:hAnsi="Aptos" w:cstheme="minorHAnsi"/>
          <w:color w:val="000000"/>
          <w:sz w:val="22"/>
          <w:szCs w:val="22"/>
        </w:rPr>
        <w:t xml:space="preserve"> of the </w:t>
      </w:r>
      <w:r w:rsidR="008F51EE" w:rsidRPr="00291243">
        <w:rPr>
          <w:rFonts w:ascii="Aptos" w:eastAsia="Calibri" w:hAnsi="Aptos" w:cstheme="minorHAnsi"/>
          <w:color w:val="000000"/>
          <w:sz w:val="22"/>
          <w:szCs w:val="22"/>
        </w:rPr>
        <w:t xml:space="preserve">relevant Safer Recruitment Policies are </w:t>
      </w:r>
      <w:r w:rsidR="007B4F1D" w:rsidRPr="00291243">
        <w:rPr>
          <w:rFonts w:ascii="Aptos" w:eastAsia="Calibri" w:hAnsi="Aptos" w:cstheme="minorHAnsi"/>
          <w:color w:val="000000"/>
          <w:sz w:val="22"/>
          <w:szCs w:val="22"/>
        </w:rPr>
        <w:t>met. A declaration confirming this should be sought from the TWA by the hirer prior to the commencement of the assignment.</w:t>
      </w:r>
    </w:p>
    <w:p w14:paraId="72E9D09F" w14:textId="77777777" w:rsidR="00FA758B" w:rsidRPr="003342F8" w:rsidRDefault="00FA758B" w:rsidP="00FA758B">
      <w:pPr>
        <w:pBdr>
          <w:top w:val="single" w:sz="4" w:space="4" w:color="auto"/>
          <w:left w:val="single" w:sz="4" w:space="4" w:color="auto"/>
          <w:bottom w:val="single" w:sz="4" w:space="4" w:color="auto"/>
          <w:right w:val="single" w:sz="4" w:space="4" w:color="auto"/>
        </w:pBdr>
        <w:shd w:val="clear" w:color="auto" w:fill="BFBFBF" w:themeFill="background1" w:themeFillShade="BF"/>
        <w:tabs>
          <w:tab w:val="left" w:pos="792"/>
        </w:tabs>
        <w:spacing w:before="311" w:line="242" w:lineRule="exact"/>
        <w:ind w:left="144"/>
        <w:textAlignment w:val="baseline"/>
        <w:rPr>
          <w:rFonts w:ascii="Aptos" w:eastAsia="Calibri" w:hAnsi="Aptos" w:cstheme="minorHAnsi"/>
          <w:b/>
          <w:color w:val="000000"/>
          <w:spacing w:val="1"/>
          <w:sz w:val="22"/>
          <w:szCs w:val="22"/>
        </w:rPr>
      </w:pPr>
      <w:r w:rsidRPr="003342F8">
        <w:rPr>
          <w:rFonts w:ascii="Aptos" w:eastAsia="Calibri" w:hAnsi="Aptos" w:cstheme="minorHAnsi"/>
          <w:b/>
          <w:color w:val="000000"/>
          <w:spacing w:val="1"/>
          <w:sz w:val="22"/>
          <w:szCs w:val="22"/>
        </w:rPr>
        <w:t>9.</w:t>
      </w:r>
      <w:r w:rsidRPr="003342F8">
        <w:rPr>
          <w:rFonts w:ascii="Aptos" w:eastAsia="Calibri" w:hAnsi="Aptos" w:cstheme="minorHAnsi"/>
          <w:b/>
          <w:color w:val="000000"/>
          <w:spacing w:val="1"/>
          <w:sz w:val="22"/>
          <w:szCs w:val="22"/>
        </w:rPr>
        <w:tab/>
        <w:t>Agency Worker - Raising concerns about treatment</w:t>
      </w:r>
    </w:p>
    <w:p w14:paraId="0EF56205" w14:textId="77777777" w:rsidR="00FA758B" w:rsidRPr="003342F8"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Where an agency worker has a concern that they are being treated less favourably in terms of their rights under the Regulations, they are entitled to raise their concerns in writing with both the TWA and the hirer and ask for information and identify comparators where applicable.  </w:t>
      </w:r>
    </w:p>
    <w:p w14:paraId="76BE0FD6" w14:textId="77777777" w:rsidR="00FA758B" w:rsidRPr="003342F8"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The hirer will need to be able to respond to and justify any such concerns. A response should be provided to the agency worker within 28 days. </w:t>
      </w:r>
    </w:p>
    <w:p w14:paraId="74728385" w14:textId="77777777" w:rsidR="00FA758B" w:rsidRPr="003342F8"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If not satisfied, agency workers do have the right to raise a claim and to take these through to employment tribunal.  </w:t>
      </w:r>
    </w:p>
    <w:p w14:paraId="682C6C0A" w14:textId="77777777" w:rsidR="00FA758B" w:rsidRPr="003342F8" w:rsidRDefault="00FA758B" w:rsidP="00FA758B">
      <w:pPr>
        <w:spacing w:before="269"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Hiring managers should be aware that agency workers are protected from any form of detriment for asserting their rights under the Regulations. A detriment could include terminating an assignment.   </w:t>
      </w:r>
    </w:p>
    <w:p w14:paraId="0B39BD0A" w14:textId="77777777" w:rsidR="00FA758B" w:rsidRPr="003342F8" w:rsidRDefault="00FA758B" w:rsidP="00FA758B">
      <w:pPr>
        <w:pBdr>
          <w:top w:val="single" w:sz="4" w:space="4" w:color="auto"/>
          <w:left w:val="single" w:sz="4" w:space="4" w:color="auto"/>
          <w:bottom w:val="single" w:sz="4" w:space="4" w:color="auto"/>
          <w:right w:val="single" w:sz="4" w:space="4" w:color="auto"/>
        </w:pBdr>
        <w:shd w:val="clear" w:color="auto" w:fill="BFBFBF" w:themeFill="background1" w:themeFillShade="BF"/>
        <w:tabs>
          <w:tab w:val="left" w:pos="792"/>
        </w:tabs>
        <w:spacing w:before="311" w:line="242" w:lineRule="exact"/>
        <w:ind w:left="144"/>
        <w:textAlignment w:val="baseline"/>
        <w:rPr>
          <w:rFonts w:ascii="Aptos" w:eastAsia="Calibri" w:hAnsi="Aptos" w:cstheme="minorHAnsi"/>
          <w:b/>
          <w:color w:val="000000"/>
          <w:spacing w:val="1"/>
          <w:sz w:val="22"/>
          <w:szCs w:val="22"/>
        </w:rPr>
      </w:pPr>
      <w:r w:rsidRPr="003342F8">
        <w:rPr>
          <w:rFonts w:ascii="Aptos" w:eastAsia="Calibri" w:hAnsi="Aptos" w:cstheme="minorHAnsi"/>
          <w:b/>
          <w:color w:val="000000"/>
          <w:spacing w:val="1"/>
          <w:sz w:val="22"/>
          <w:szCs w:val="22"/>
        </w:rPr>
        <w:t>10.</w:t>
      </w:r>
      <w:r w:rsidRPr="003342F8">
        <w:rPr>
          <w:rFonts w:ascii="Aptos" w:eastAsia="Calibri" w:hAnsi="Aptos" w:cstheme="minorHAnsi"/>
          <w:b/>
          <w:color w:val="000000"/>
          <w:spacing w:val="1"/>
          <w:sz w:val="22"/>
          <w:szCs w:val="22"/>
        </w:rPr>
        <w:tab/>
        <w:t>Additional Guidance</w:t>
      </w:r>
    </w:p>
    <w:p w14:paraId="4115D058" w14:textId="77777777" w:rsidR="00FA758B" w:rsidRPr="003342F8" w:rsidRDefault="00FA758B" w:rsidP="00FA758B">
      <w:pPr>
        <w:spacing w:before="248"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rate of pay should be commensurate with the role i.e. if the TWA supplies a cover supervisor the rate of pay should be consistent with the supervisory role that they perform based on the appropriate job evaluated grade, even though they may be a qualified teacher.</w:t>
      </w:r>
    </w:p>
    <w:p w14:paraId="5FCBCA62" w14:textId="00B26B31" w:rsidR="00A3682A" w:rsidRDefault="00FA758B" w:rsidP="00270E77">
      <w:pPr>
        <w:spacing w:before="267"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Where the TWA supplies a </w:t>
      </w:r>
      <w:r w:rsidRPr="00262637">
        <w:rPr>
          <w:rFonts w:ascii="Aptos" w:eastAsia="Calibri" w:hAnsi="Aptos" w:cstheme="minorHAnsi"/>
          <w:color w:val="000000"/>
          <w:sz w:val="22"/>
          <w:szCs w:val="22"/>
          <w:u w:val="single"/>
        </w:rPr>
        <w:t>teacher</w:t>
      </w:r>
      <w:r w:rsidRPr="003342F8">
        <w:rPr>
          <w:rFonts w:ascii="Aptos" w:eastAsia="Calibri" w:hAnsi="Aptos" w:cstheme="minorHAnsi"/>
          <w:color w:val="000000"/>
          <w:sz w:val="22"/>
          <w:szCs w:val="22"/>
        </w:rPr>
        <w:t xml:space="preserve"> to actively teach pupils (specified work), the teacher should be paid as a qualified teacher. After 12 weeks the teacher should be paid in accordance with the School Teachers’ Pay &amp; Conditions Document. The Regulations include annual leave provisions so the daily rate </w:t>
      </w:r>
      <w:r w:rsidRPr="009402AE">
        <w:rPr>
          <w:rFonts w:ascii="Aptos" w:eastAsia="Calibri" w:hAnsi="Aptos" w:cstheme="minorHAnsi"/>
          <w:color w:val="000000"/>
          <w:sz w:val="22"/>
          <w:szCs w:val="22"/>
        </w:rPr>
        <w:t>should be based on 195 working days per annum.</w:t>
      </w:r>
      <w:r w:rsidRPr="003342F8">
        <w:rPr>
          <w:rFonts w:ascii="Aptos" w:eastAsia="Calibri" w:hAnsi="Aptos" w:cstheme="minorHAnsi"/>
          <w:color w:val="000000"/>
          <w:sz w:val="22"/>
          <w:szCs w:val="22"/>
        </w:rPr>
        <w:t xml:space="preserve"> </w:t>
      </w:r>
    </w:p>
    <w:p w14:paraId="37341A06" w14:textId="60420522" w:rsidR="00FA758B" w:rsidRPr="003342F8" w:rsidRDefault="00FA758B" w:rsidP="00FA758B">
      <w:pPr>
        <w:spacing w:before="267"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For </w:t>
      </w:r>
      <w:r w:rsidRPr="00475765">
        <w:rPr>
          <w:rFonts w:ascii="Aptos" w:eastAsia="Calibri" w:hAnsi="Aptos" w:cstheme="minorHAnsi"/>
          <w:color w:val="000000"/>
          <w:sz w:val="22"/>
          <w:szCs w:val="22"/>
          <w:u w:val="single"/>
        </w:rPr>
        <w:t>support staff</w:t>
      </w:r>
      <w:r w:rsidRPr="003342F8">
        <w:rPr>
          <w:rFonts w:ascii="Aptos" w:eastAsia="Calibri" w:hAnsi="Aptos" w:cstheme="minorHAnsi"/>
          <w:color w:val="000000"/>
          <w:sz w:val="22"/>
          <w:szCs w:val="22"/>
        </w:rPr>
        <w:t>, after 12 weeks the agency worker should be paid at the evaluated grade for that post. Where the annual leave related to the post is over and above the statutory holiday entitlement (5.6 weeks), this should be included in the daily/hourly rate paid to the agency worker.</w:t>
      </w:r>
    </w:p>
    <w:p w14:paraId="64D73850" w14:textId="77777777" w:rsidR="00FA758B" w:rsidRPr="003342F8" w:rsidRDefault="00FA758B" w:rsidP="00FA758B">
      <w:pPr>
        <w:spacing w:before="268"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It is important that the schools keep a record of all agency workers who have worked at the school on a temporary assignment, so as to monitor the accrual of weeks clocked up towards the qualifying period so that they can meet their obligations under the Regulations by providing appropriate information to the TWA. A separate template can be found by accessing this Policy on the School website (see Appendix C).</w:t>
      </w:r>
    </w:p>
    <w:p w14:paraId="2F9830A0" w14:textId="36E57103" w:rsidR="00FA758B" w:rsidRPr="003342F8" w:rsidRDefault="00FA758B" w:rsidP="00FA758B">
      <w:pPr>
        <w:spacing w:before="248"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The Government has issued guidance for schools on the use of temporary staff: “Deal for Schools - hiring Supply Teachers and Agency Workers”. This can be </w:t>
      </w:r>
      <w:r w:rsidR="00210C71" w:rsidRPr="003342F8">
        <w:rPr>
          <w:rFonts w:ascii="Aptos" w:eastAsia="Calibri" w:hAnsi="Aptos" w:cstheme="minorHAnsi"/>
          <w:color w:val="000000"/>
          <w:sz w:val="22"/>
          <w:szCs w:val="22"/>
        </w:rPr>
        <w:t xml:space="preserve">viewed on the </w:t>
      </w:r>
      <w:hyperlink r:id="rId13" w:history="1">
        <w:r w:rsidR="00210C71" w:rsidRPr="003342F8">
          <w:rPr>
            <w:rStyle w:val="Hyperlink"/>
            <w:rFonts w:ascii="Aptos" w:eastAsia="Calibri" w:hAnsi="Aptos" w:cstheme="minorHAnsi"/>
            <w:sz w:val="22"/>
            <w:szCs w:val="22"/>
          </w:rPr>
          <w:t>GOV.UK website</w:t>
        </w:r>
      </w:hyperlink>
      <w:r w:rsidR="00210C71" w:rsidRPr="003342F8">
        <w:rPr>
          <w:rFonts w:ascii="Aptos" w:eastAsia="Calibri" w:hAnsi="Aptos" w:cstheme="minorHAnsi"/>
          <w:color w:val="000000"/>
          <w:sz w:val="22"/>
          <w:szCs w:val="22"/>
        </w:rPr>
        <w:t>.</w:t>
      </w:r>
    </w:p>
    <w:p w14:paraId="7C8E429D" w14:textId="77777777" w:rsidR="00FA758B" w:rsidRPr="003342F8" w:rsidRDefault="00FA758B" w:rsidP="00FA758B">
      <w:pPr>
        <w:spacing w:before="248" w:line="269" w:lineRule="exact"/>
        <w:ind w:lef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p w14:paraId="789E6EBA" w14:textId="77777777" w:rsidR="00FA758B" w:rsidRPr="003342F8" w:rsidRDefault="00FA758B" w:rsidP="00FA758B">
      <w:pPr>
        <w:spacing w:before="268" w:line="269" w:lineRule="exact"/>
        <w:ind w:left="144" w:right="144"/>
        <w:jc w:val="both"/>
        <w:textAlignment w:val="baseline"/>
        <w:rPr>
          <w:rFonts w:ascii="Aptos" w:eastAsia="Calibri" w:hAnsi="Aptos" w:cstheme="minorHAnsi"/>
          <w:color w:val="000000"/>
          <w:sz w:val="22"/>
          <w:szCs w:val="22"/>
        </w:rPr>
      </w:pPr>
    </w:p>
    <w:p w14:paraId="710AD2C6" w14:textId="77777777" w:rsidR="00FA758B" w:rsidRPr="003342F8" w:rsidRDefault="00FA758B" w:rsidP="00FA758B">
      <w:pPr>
        <w:pStyle w:val="Footer"/>
        <w:jc w:val="both"/>
        <w:rPr>
          <w:rFonts w:ascii="Aptos" w:hAnsi="Aptos" w:cstheme="minorHAnsi"/>
          <w:sz w:val="22"/>
          <w:szCs w:val="22"/>
        </w:rPr>
      </w:pPr>
    </w:p>
    <w:p w14:paraId="2B57AF7C" w14:textId="7416BF8D" w:rsidR="00FA758B" w:rsidRPr="003342F8" w:rsidRDefault="00FA758B">
      <w:pPr>
        <w:rPr>
          <w:rFonts w:ascii="Aptos" w:hAnsi="Aptos" w:cstheme="minorHAnsi"/>
          <w:b/>
          <w:sz w:val="22"/>
          <w:szCs w:val="22"/>
        </w:rPr>
      </w:pPr>
      <w:r w:rsidRPr="003342F8">
        <w:rPr>
          <w:rFonts w:ascii="Aptos" w:hAnsi="Aptos" w:cstheme="minorHAnsi"/>
          <w:b/>
          <w:sz w:val="22"/>
          <w:szCs w:val="22"/>
        </w:rPr>
        <w:br w:type="page"/>
      </w:r>
    </w:p>
    <w:p w14:paraId="7642F522" w14:textId="77777777" w:rsidR="00FA758B" w:rsidRPr="003342F8" w:rsidRDefault="00FA758B" w:rsidP="00FA758B">
      <w:pPr>
        <w:spacing w:before="36" w:line="226" w:lineRule="exact"/>
        <w:ind w:left="72" w:right="72"/>
        <w:jc w:val="right"/>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Appendix A</w:t>
      </w:r>
    </w:p>
    <w:p w14:paraId="01C3130A" w14:textId="77777777" w:rsidR="00FA758B" w:rsidRPr="003342F8" w:rsidRDefault="00FA758B" w:rsidP="00FA758B">
      <w:pPr>
        <w:spacing w:before="43" w:line="225" w:lineRule="exact"/>
        <w:ind w:left="72"/>
        <w:jc w:val="both"/>
        <w:textAlignment w:val="baseline"/>
        <w:rPr>
          <w:rFonts w:ascii="Aptos" w:eastAsia="Calibri" w:hAnsi="Aptos" w:cstheme="minorHAnsi"/>
          <w:b/>
          <w:color w:val="000000"/>
          <w:spacing w:val="-1"/>
          <w:sz w:val="22"/>
          <w:szCs w:val="22"/>
        </w:rPr>
      </w:pPr>
    </w:p>
    <w:p w14:paraId="33BE1983" w14:textId="6EAA1868" w:rsidR="00FA758B" w:rsidRPr="003342F8" w:rsidRDefault="00FA758B" w:rsidP="00FA758B">
      <w:pPr>
        <w:spacing w:before="43" w:line="225" w:lineRule="exact"/>
        <w:ind w:left="72"/>
        <w:jc w:val="both"/>
        <w:textAlignment w:val="baseline"/>
        <w:rPr>
          <w:rFonts w:ascii="Aptos" w:eastAsia="Calibri" w:hAnsi="Aptos" w:cstheme="minorHAnsi"/>
          <w:b/>
          <w:color w:val="000000"/>
          <w:spacing w:val="-1"/>
        </w:rPr>
      </w:pPr>
      <w:r w:rsidRPr="003342F8">
        <w:rPr>
          <w:rFonts w:ascii="Aptos" w:eastAsia="Calibri" w:hAnsi="Aptos" w:cstheme="minorHAnsi"/>
          <w:b/>
          <w:color w:val="000000"/>
          <w:spacing w:val="-1"/>
        </w:rPr>
        <w:t>Definition</w:t>
      </w:r>
      <w:r w:rsidR="008E2E37" w:rsidRPr="003342F8">
        <w:rPr>
          <w:rFonts w:ascii="Aptos" w:eastAsia="Calibri" w:hAnsi="Aptos" w:cstheme="minorHAnsi"/>
          <w:b/>
          <w:color w:val="000000"/>
          <w:spacing w:val="-1"/>
        </w:rPr>
        <w:t xml:space="preserve"> of Terms</w:t>
      </w:r>
    </w:p>
    <w:p w14:paraId="1EE576E2" w14:textId="77777777" w:rsidR="00FA758B" w:rsidRPr="003342F8" w:rsidRDefault="00FA758B" w:rsidP="00FA758B">
      <w:pPr>
        <w:spacing w:before="313" w:line="226" w:lineRule="exact"/>
        <w:ind w:left="72"/>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The Temporary Work Agency (TWA)</w:t>
      </w:r>
    </w:p>
    <w:p w14:paraId="640E80BC" w14:textId="77777777" w:rsidR="00FA758B" w:rsidRPr="003342F8" w:rsidRDefault="00FA758B" w:rsidP="00FA758B">
      <w:pPr>
        <w:spacing w:before="268"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 Temporary Work Agency (TWA) supplies agency workers to work temporarily for a third party (the hirer). The agency worker works temporarily under the supervision and direction of the hirer but only has a contract with the TWA.</w:t>
      </w:r>
    </w:p>
    <w:p w14:paraId="1B6D94D3" w14:textId="77777777" w:rsidR="00FA758B" w:rsidRPr="003342F8" w:rsidRDefault="00FA758B" w:rsidP="00FA758B">
      <w:pPr>
        <w:spacing w:before="311" w:line="227" w:lineRule="exact"/>
        <w:ind w:left="72"/>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 xml:space="preserve">The Agency Worker </w:t>
      </w:r>
    </w:p>
    <w:p w14:paraId="55F3250A" w14:textId="77777777" w:rsidR="00FA758B" w:rsidRPr="003342F8" w:rsidRDefault="00FA758B" w:rsidP="00FA758B">
      <w:pPr>
        <w:spacing w:before="268"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An agency worker (often referred to as a ‘temp’) is someone who has a contract with the TWA which is a contract of employment or any other contract to perform work or services personally for the TWA but works temporarily for and under the direction and supervision of a hirer.</w:t>
      </w:r>
    </w:p>
    <w:p w14:paraId="6BE0C7EC" w14:textId="77777777" w:rsidR="00FA758B" w:rsidRPr="003342F8" w:rsidRDefault="00FA758B" w:rsidP="00FA758B">
      <w:pPr>
        <w:spacing w:before="268"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b/>
          <w:color w:val="000000"/>
          <w:sz w:val="22"/>
          <w:szCs w:val="22"/>
        </w:rPr>
        <w:t>The Hirer</w:t>
      </w:r>
    </w:p>
    <w:p w14:paraId="29629A07" w14:textId="77777777" w:rsidR="00FA758B" w:rsidRPr="003342F8" w:rsidRDefault="00FA758B" w:rsidP="00FA758B">
      <w:pPr>
        <w:spacing w:before="268"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hirer (end-user) is a ‘person’ e.g. company, partnership, sole trader, public body, which is engaged in economic activity (whether or not for profit) and which books agency workers via a TWA.</w:t>
      </w:r>
    </w:p>
    <w:p w14:paraId="46BBCA98" w14:textId="77777777" w:rsidR="00FA758B" w:rsidRPr="003342F8" w:rsidRDefault="00FA758B" w:rsidP="00FA758B">
      <w:pPr>
        <w:spacing w:before="306" w:line="225" w:lineRule="exact"/>
        <w:ind w:left="72"/>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‘New’ Hirer</w:t>
      </w:r>
    </w:p>
    <w:p w14:paraId="2D581112" w14:textId="77777777" w:rsidR="00FA758B" w:rsidRPr="003342F8" w:rsidRDefault="00FA758B" w:rsidP="00FA758B">
      <w:pPr>
        <w:spacing w:before="270"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The qualifying clock will be reset to zero if the agency worker stops working for one hirer and begins working for another. Generally, such situations will be clear. A new hirer for this purpose must be a different legal entity.</w:t>
      </w:r>
    </w:p>
    <w:p w14:paraId="2693AFF0" w14:textId="77777777" w:rsidR="00FA758B" w:rsidRPr="003342F8" w:rsidRDefault="00FA758B" w:rsidP="00FA758B">
      <w:pPr>
        <w:spacing w:before="267"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Advice suggests that community schools, voluntary controlled schools, community special schools and maintained nursery schools do not have a separate ‘legal identity’. An agency worker can move between these schools within the same local authority without stopping the clock on the qualifying period unless it is a substantively different role or there is a break of more than 6 weeks (which is not one which ‘pauses’ the clock or during which the clock continues to ‘tick’). If the agency worker moves to a school where a different local authority is the hirer, the qualifying clock resets to zero.</w:t>
      </w:r>
    </w:p>
    <w:p w14:paraId="0AD16035" w14:textId="77777777" w:rsidR="00FA758B" w:rsidRPr="003342F8" w:rsidRDefault="00FA758B" w:rsidP="00FA758B">
      <w:pPr>
        <w:spacing w:before="269"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Schools with a separate ‘legal identity’ include VA and Foundation schools and independent schools (including academies).</w:t>
      </w:r>
    </w:p>
    <w:p w14:paraId="1D6498D0" w14:textId="77777777" w:rsidR="00FA758B" w:rsidRPr="003342F8" w:rsidRDefault="00FA758B" w:rsidP="00FA758B">
      <w:pPr>
        <w:spacing w:before="311" w:line="226" w:lineRule="exact"/>
        <w:ind w:left="72"/>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Substantively Different Role</w:t>
      </w:r>
    </w:p>
    <w:p w14:paraId="374728F2" w14:textId="77777777" w:rsidR="00FA758B" w:rsidRPr="003342F8" w:rsidRDefault="00FA758B" w:rsidP="00FA758B">
      <w:pPr>
        <w:spacing w:before="269" w:line="269" w:lineRule="exact"/>
        <w:ind w:left="72" w:right="144"/>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If there is a substantive change to a job role within the same hirer, the qualifying clock is reset to zero for the new role. However, for this to happen the work or duties which make up the whole or main part of a role must be substantively different.</w:t>
      </w:r>
    </w:p>
    <w:p w14:paraId="0EDAE199" w14:textId="680B4FBE" w:rsidR="00FA758B" w:rsidRPr="003342F8" w:rsidRDefault="00FA758B" w:rsidP="00FA758B">
      <w:pPr>
        <w:spacing w:before="269" w:line="269" w:lineRule="exact"/>
        <w:ind w:left="72" w:right="144"/>
        <w:jc w:val="both"/>
        <w:textAlignment w:val="baseline"/>
        <w:rPr>
          <w:rFonts w:ascii="Aptos" w:eastAsia="Calibri" w:hAnsi="Aptos" w:cstheme="minorHAnsi"/>
          <w:color w:val="000000"/>
          <w:sz w:val="22"/>
          <w:szCs w:val="22"/>
        </w:rPr>
        <w:sectPr w:rsidR="00FA758B" w:rsidRPr="003342F8" w:rsidSect="008B23AC">
          <w:headerReference w:type="default" r:id="rId14"/>
          <w:headerReference w:type="first" r:id="rId15"/>
          <w:footerReference w:type="first" r:id="rId16"/>
          <w:pgSz w:w="11909" w:h="16838"/>
          <w:pgMar w:top="993" w:right="1440" w:bottom="567" w:left="1440" w:header="720" w:footer="720" w:gutter="0"/>
          <w:cols w:space="720"/>
          <w:docGrid w:linePitch="326"/>
        </w:sectPr>
      </w:pPr>
      <w:r w:rsidRPr="003342F8">
        <w:rPr>
          <w:rFonts w:ascii="Aptos" w:hAnsi="Aptos" w:cstheme="minorHAnsi"/>
          <w:color w:val="0B0C0C"/>
          <w:sz w:val="22"/>
          <w:szCs w:val="22"/>
        </w:rPr>
        <w:t>A substantively different role is one that is completely new, different work. There has to be a genuine and real difference to the role. It could be a combination of different skills or requiring new training; new equipment; pay rate; location; working hours; change in management.</w:t>
      </w:r>
    </w:p>
    <w:p w14:paraId="7E0D5F41" w14:textId="77777777" w:rsidR="00FA758B" w:rsidRPr="003342F8" w:rsidRDefault="00FA758B" w:rsidP="00FA758B">
      <w:pPr>
        <w:spacing w:line="262" w:lineRule="exact"/>
        <w:jc w:val="both"/>
        <w:textAlignment w:val="baseline"/>
        <w:rPr>
          <w:rFonts w:ascii="Aptos" w:hAnsi="Aptos" w:cstheme="minorHAnsi"/>
          <w:sz w:val="22"/>
          <w:szCs w:val="22"/>
        </w:rPr>
        <w:sectPr w:rsidR="00FA758B" w:rsidRPr="003342F8" w:rsidSect="00970711">
          <w:type w:val="continuous"/>
          <w:pgSz w:w="11909" w:h="16838"/>
          <w:pgMar w:top="1120" w:right="2971" w:bottom="582" w:left="3178" w:header="720" w:footer="720" w:gutter="0"/>
          <w:cols w:space="720"/>
          <w:titlePg/>
        </w:sectPr>
      </w:pPr>
    </w:p>
    <w:p w14:paraId="095C180E" w14:textId="1DE4A7EF" w:rsidR="00FA758B" w:rsidRPr="003342F8" w:rsidRDefault="00FA758B" w:rsidP="00FA758B">
      <w:pPr>
        <w:jc w:val="right"/>
        <w:rPr>
          <w:rFonts w:ascii="Aptos" w:eastAsia="Calibri" w:hAnsi="Aptos" w:cstheme="minorHAnsi"/>
          <w:b/>
          <w:color w:val="000000"/>
          <w:sz w:val="22"/>
          <w:szCs w:val="22"/>
        </w:rPr>
      </w:pPr>
      <w:r w:rsidRPr="003342F8">
        <w:rPr>
          <w:rFonts w:ascii="Aptos" w:eastAsia="Calibri" w:hAnsi="Aptos" w:cstheme="minorHAnsi"/>
          <w:b/>
          <w:color w:val="000000"/>
          <w:sz w:val="22"/>
          <w:szCs w:val="22"/>
        </w:rPr>
        <w:t>Appendix B</w:t>
      </w:r>
    </w:p>
    <w:p w14:paraId="2D138CE1" w14:textId="16CD1F80" w:rsidR="00FA758B" w:rsidRPr="003342F8" w:rsidRDefault="00FA758B" w:rsidP="00FA758B">
      <w:pPr>
        <w:spacing w:line="266" w:lineRule="exact"/>
        <w:ind w:right="431"/>
        <w:jc w:val="both"/>
        <w:textAlignment w:val="baseline"/>
        <w:rPr>
          <w:rFonts w:ascii="Aptos" w:eastAsia="Calibri" w:hAnsi="Aptos" w:cstheme="minorHAnsi"/>
          <w:color w:val="000000"/>
          <w:sz w:val="22"/>
          <w:szCs w:val="22"/>
        </w:rPr>
      </w:pPr>
    </w:p>
    <w:p w14:paraId="563E21FA" w14:textId="25BF4DA8" w:rsidR="004D15E4" w:rsidRPr="003342F8" w:rsidRDefault="004D15E4" w:rsidP="00FA758B">
      <w:pPr>
        <w:spacing w:line="266" w:lineRule="exact"/>
        <w:ind w:right="431"/>
        <w:jc w:val="both"/>
        <w:textAlignment w:val="baseline"/>
        <w:rPr>
          <w:rStyle w:val="Strong"/>
          <w:rFonts w:ascii="Aptos" w:hAnsi="Aptos" w:cstheme="minorHAnsi"/>
          <w:sz w:val="22"/>
          <w:szCs w:val="22"/>
        </w:rPr>
      </w:pPr>
      <w:r w:rsidRPr="003342F8">
        <w:rPr>
          <w:rStyle w:val="Strong"/>
          <w:rFonts w:ascii="Aptos" w:hAnsi="Aptos" w:cstheme="minorHAnsi"/>
          <w:sz w:val="22"/>
          <w:szCs w:val="22"/>
        </w:rPr>
        <w:t xml:space="preserve">Pro-forma Template to </w:t>
      </w:r>
      <w:r w:rsidR="00C44AFC" w:rsidRPr="003342F8">
        <w:rPr>
          <w:rStyle w:val="Strong"/>
          <w:rFonts w:ascii="Aptos" w:hAnsi="Aptos" w:cstheme="minorHAnsi"/>
          <w:sz w:val="22"/>
          <w:szCs w:val="22"/>
        </w:rPr>
        <w:t>Provide Infor</w:t>
      </w:r>
      <w:r w:rsidRPr="003342F8">
        <w:rPr>
          <w:rStyle w:val="Strong"/>
          <w:rFonts w:ascii="Aptos" w:hAnsi="Aptos" w:cstheme="minorHAnsi"/>
          <w:sz w:val="22"/>
          <w:szCs w:val="22"/>
        </w:rPr>
        <w:t>mation to Temporary Worker Agency (TWA)</w:t>
      </w:r>
    </w:p>
    <w:p w14:paraId="3712FAED" w14:textId="6E312837" w:rsidR="00C44AFC" w:rsidRPr="003342F8" w:rsidRDefault="00C44AFC" w:rsidP="00FA758B">
      <w:pPr>
        <w:spacing w:line="266" w:lineRule="exact"/>
        <w:ind w:right="431"/>
        <w:jc w:val="both"/>
        <w:textAlignment w:val="baseline"/>
        <w:rPr>
          <w:rStyle w:val="Strong"/>
          <w:rFonts w:ascii="Aptos" w:hAnsi="Aptos" w:cstheme="minorHAnsi"/>
          <w:sz w:val="22"/>
          <w:szCs w:val="22"/>
        </w:rPr>
      </w:pPr>
    </w:p>
    <w:p w14:paraId="6EE0C92D" w14:textId="7A5AED6F" w:rsidR="00C44AFC" w:rsidRPr="003342F8" w:rsidRDefault="00C44AFC" w:rsidP="00FA758B">
      <w:pPr>
        <w:spacing w:line="266" w:lineRule="exact"/>
        <w:ind w:right="431"/>
        <w:jc w:val="both"/>
        <w:textAlignment w:val="baseline"/>
        <w:rPr>
          <w:rStyle w:val="Strong"/>
          <w:rFonts w:ascii="Aptos" w:hAnsi="Aptos" w:cstheme="minorHAnsi"/>
          <w:color w:val="FF0000"/>
          <w:sz w:val="22"/>
          <w:szCs w:val="22"/>
        </w:rPr>
      </w:pPr>
      <w:r w:rsidRPr="003342F8">
        <w:rPr>
          <w:rStyle w:val="Strong"/>
          <w:rFonts w:ascii="Aptos" w:hAnsi="Aptos" w:cstheme="minorHAnsi"/>
          <w:color w:val="FF0000"/>
          <w:sz w:val="22"/>
          <w:szCs w:val="22"/>
        </w:rPr>
        <w:t>Strictly Confidential</w:t>
      </w:r>
      <w:r w:rsidR="00ED03D2" w:rsidRPr="003342F8">
        <w:rPr>
          <w:rStyle w:val="Strong"/>
          <w:rFonts w:ascii="Aptos" w:hAnsi="Aptos" w:cstheme="minorHAnsi"/>
          <w:color w:val="FF0000"/>
          <w:sz w:val="22"/>
          <w:szCs w:val="22"/>
        </w:rPr>
        <w:t xml:space="preserve"> – Restricted Distribution</w:t>
      </w:r>
    </w:p>
    <w:p w14:paraId="42924675" w14:textId="77777777" w:rsidR="004D15E4" w:rsidRPr="003342F8" w:rsidRDefault="004D15E4" w:rsidP="00FA758B">
      <w:pPr>
        <w:spacing w:line="266" w:lineRule="exact"/>
        <w:ind w:right="431"/>
        <w:jc w:val="both"/>
        <w:textAlignment w:val="baseline"/>
        <w:rPr>
          <w:rFonts w:ascii="Aptos" w:eastAsia="Calibri" w:hAnsi="Aptos" w:cstheme="minorHAnsi"/>
          <w:color w:val="000000"/>
          <w:sz w:val="22"/>
          <w:szCs w:val="22"/>
        </w:rPr>
      </w:pPr>
    </w:p>
    <w:p w14:paraId="62106BA1" w14:textId="0006CE7E" w:rsidR="00FA758B" w:rsidRPr="003342F8" w:rsidRDefault="00FA758B" w:rsidP="00A31CD2">
      <w:pPr>
        <w:spacing w:line="266" w:lineRule="exact"/>
        <w:ind w:right="-46"/>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Form to be sent to the Temporary Worker Agency as soon as it is evident that the agency worker will complete 12 weeks in the same role with the same hirer</w:t>
      </w:r>
      <w:r w:rsidR="00210C71" w:rsidRPr="003342F8">
        <w:rPr>
          <w:rFonts w:ascii="Aptos" w:eastAsia="Calibri" w:hAnsi="Aptos" w:cstheme="minorHAnsi"/>
          <w:color w:val="000000"/>
          <w:sz w:val="22"/>
          <w:szCs w:val="22"/>
        </w:rPr>
        <w:t>.</w:t>
      </w:r>
    </w:p>
    <w:p w14:paraId="2AFDDBCD" w14:textId="7849E434" w:rsidR="00FA758B" w:rsidRPr="003342F8" w:rsidRDefault="00FA758B" w:rsidP="00FA758B">
      <w:pPr>
        <w:spacing w:line="266" w:lineRule="exact"/>
        <w:ind w:right="431"/>
        <w:jc w:val="both"/>
        <w:textAlignment w:val="baseline"/>
        <w:rPr>
          <w:rFonts w:ascii="Aptos" w:eastAsia="Calibri" w:hAnsi="Aptos" w:cstheme="minorHAnsi"/>
          <w:color w:val="000000"/>
          <w:sz w:val="22"/>
          <w:szCs w:val="22"/>
        </w:rPr>
      </w:pPr>
    </w:p>
    <w:p w14:paraId="6DA585A9" w14:textId="77777777" w:rsidR="004D15E4" w:rsidRPr="003342F8" w:rsidRDefault="004D15E4" w:rsidP="00FA758B">
      <w:pPr>
        <w:spacing w:line="266" w:lineRule="exact"/>
        <w:ind w:right="431"/>
        <w:jc w:val="both"/>
        <w:textAlignment w:val="baseline"/>
        <w:rPr>
          <w:rFonts w:ascii="Aptos" w:eastAsia="Calibri" w:hAnsi="Aptos" w:cstheme="minorHAnsi"/>
          <w:color w:val="000000"/>
          <w:sz w:val="22"/>
          <w:szCs w:val="22"/>
        </w:rPr>
      </w:pPr>
    </w:p>
    <w:tbl>
      <w:tblPr>
        <w:tblW w:w="9052" w:type="dxa"/>
        <w:tblInd w:w="14" w:type="dxa"/>
        <w:tblLayout w:type="fixed"/>
        <w:tblCellMar>
          <w:left w:w="0" w:type="dxa"/>
          <w:right w:w="0" w:type="dxa"/>
        </w:tblCellMar>
        <w:tblLook w:val="0000" w:firstRow="0" w:lastRow="0" w:firstColumn="0" w:lastColumn="0" w:noHBand="0" w:noVBand="0"/>
      </w:tblPr>
      <w:tblGrid>
        <w:gridCol w:w="4516"/>
        <w:gridCol w:w="4536"/>
      </w:tblGrid>
      <w:tr w:rsidR="00FA758B" w:rsidRPr="003342F8" w14:paraId="7BFE70EE"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67E618EB"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Agency</w:t>
            </w:r>
          </w:p>
        </w:tc>
        <w:tc>
          <w:tcPr>
            <w:tcW w:w="4536" w:type="dxa"/>
            <w:tcBorders>
              <w:top w:val="single" w:sz="5" w:space="0" w:color="000000"/>
              <w:left w:val="single" w:sz="5" w:space="0" w:color="000000"/>
              <w:bottom w:val="single" w:sz="5" w:space="0" w:color="000000"/>
              <w:right w:val="single" w:sz="5" w:space="0" w:color="000000"/>
            </w:tcBorders>
          </w:tcPr>
          <w:p w14:paraId="0156DA39"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573CF2B4" w14:textId="77777777" w:rsidTr="004D15E4">
        <w:tc>
          <w:tcPr>
            <w:tcW w:w="4516" w:type="dxa"/>
            <w:tcBorders>
              <w:top w:val="single" w:sz="5" w:space="0" w:color="000000"/>
              <w:left w:val="single" w:sz="5" w:space="0" w:color="000000"/>
              <w:bottom w:val="single" w:sz="5" w:space="0" w:color="000000"/>
              <w:right w:val="single" w:sz="5" w:space="0" w:color="000000"/>
            </w:tcBorders>
            <w:vAlign w:val="bottom"/>
          </w:tcPr>
          <w:p w14:paraId="6B3F4B74"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Name of Agency Worker</w:t>
            </w:r>
          </w:p>
        </w:tc>
        <w:tc>
          <w:tcPr>
            <w:tcW w:w="4536" w:type="dxa"/>
            <w:tcBorders>
              <w:top w:val="single" w:sz="5" w:space="0" w:color="000000"/>
              <w:left w:val="single" w:sz="5" w:space="0" w:color="000000"/>
              <w:bottom w:val="single" w:sz="5" w:space="0" w:color="000000"/>
              <w:right w:val="single" w:sz="5" w:space="0" w:color="000000"/>
            </w:tcBorders>
          </w:tcPr>
          <w:p w14:paraId="763E8338" w14:textId="5D30FE32" w:rsidR="00FA758B" w:rsidRPr="003342F8" w:rsidRDefault="00FA758B" w:rsidP="004D15E4">
            <w:pPr>
              <w:spacing w:before="60" w:after="60"/>
              <w:jc w:val="both"/>
              <w:textAlignment w:val="baseline"/>
              <w:rPr>
                <w:rFonts w:ascii="Aptos" w:eastAsia="Calibri" w:hAnsi="Aptos" w:cstheme="minorHAnsi"/>
                <w:color w:val="000000"/>
                <w:sz w:val="22"/>
                <w:szCs w:val="22"/>
              </w:rPr>
            </w:pPr>
          </w:p>
        </w:tc>
      </w:tr>
      <w:tr w:rsidR="00FA758B" w:rsidRPr="003342F8" w14:paraId="7C60F74C"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5837CADE"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Reference Number</w:t>
            </w:r>
          </w:p>
        </w:tc>
        <w:tc>
          <w:tcPr>
            <w:tcW w:w="4536" w:type="dxa"/>
            <w:tcBorders>
              <w:top w:val="single" w:sz="5" w:space="0" w:color="000000"/>
              <w:left w:val="single" w:sz="5" w:space="0" w:color="000000"/>
              <w:bottom w:val="single" w:sz="5" w:space="0" w:color="000000"/>
              <w:right w:val="single" w:sz="5" w:space="0" w:color="000000"/>
            </w:tcBorders>
          </w:tcPr>
          <w:p w14:paraId="6F6E7A91"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7804535B"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2EFC0ABB"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Start date of assignment</w:t>
            </w:r>
          </w:p>
        </w:tc>
        <w:tc>
          <w:tcPr>
            <w:tcW w:w="4536" w:type="dxa"/>
            <w:tcBorders>
              <w:top w:val="single" w:sz="5" w:space="0" w:color="000000"/>
              <w:left w:val="single" w:sz="5" w:space="0" w:color="000000"/>
              <w:bottom w:val="single" w:sz="5" w:space="0" w:color="000000"/>
              <w:right w:val="single" w:sz="5" w:space="0" w:color="000000"/>
            </w:tcBorders>
          </w:tcPr>
          <w:p w14:paraId="163485F9"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005AE7E3" w14:textId="77777777" w:rsidTr="004D15E4">
        <w:tc>
          <w:tcPr>
            <w:tcW w:w="4516" w:type="dxa"/>
            <w:tcBorders>
              <w:top w:val="single" w:sz="5" w:space="0" w:color="000000"/>
              <w:left w:val="single" w:sz="5" w:space="0" w:color="000000"/>
              <w:bottom w:val="single" w:sz="5" w:space="0" w:color="000000"/>
              <w:right w:val="single" w:sz="5" w:space="0" w:color="000000"/>
            </w:tcBorders>
          </w:tcPr>
          <w:p w14:paraId="58FEC936" w14:textId="4A6AA24D"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Duration of Assignment (if known)</w:t>
            </w:r>
          </w:p>
        </w:tc>
        <w:tc>
          <w:tcPr>
            <w:tcW w:w="4536" w:type="dxa"/>
            <w:tcBorders>
              <w:top w:val="single" w:sz="5" w:space="0" w:color="000000"/>
              <w:left w:val="single" w:sz="5" w:space="0" w:color="000000"/>
              <w:bottom w:val="single" w:sz="5" w:space="0" w:color="000000"/>
              <w:right w:val="single" w:sz="5" w:space="0" w:color="000000"/>
            </w:tcBorders>
          </w:tcPr>
          <w:p w14:paraId="4179FFE6"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6B59A618" w14:textId="77777777" w:rsidTr="004D15E4">
        <w:tc>
          <w:tcPr>
            <w:tcW w:w="4516" w:type="dxa"/>
            <w:tcBorders>
              <w:top w:val="single" w:sz="5" w:space="0" w:color="000000"/>
              <w:left w:val="single" w:sz="5" w:space="0" w:color="000000"/>
              <w:bottom w:val="single" w:sz="5" w:space="0" w:color="000000"/>
              <w:right w:val="single" w:sz="5" w:space="0" w:color="000000"/>
            </w:tcBorders>
          </w:tcPr>
          <w:p w14:paraId="3A7E8DF6" w14:textId="179CDFC5"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Date qualifying period of 12 weeks completed/due to be completed</w:t>
            </w:r>
          </w:p>
        </w:tc>
        <w:tc>
          <w:tcPr>
            <w:tcW w:w="4536" w:type="dxa"/>
            <w:tcBorders>
              <w:top w:val="single" w:sz="5" w:space="0" w:color="000000"/>
              <w:left w:val="single" w:sz="5" w:space="0" w:color="000000"/>
              <w:bottom w:val="single" w:sz="5" w:space="0" w:color="000000"/>
              <w:right w:val="single" w:sz="5" w:space="0" w:color="000000"/>
            </w:tcBorders>
          </w:tcPr>
          <w:p w14:paraId="2418ED70"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38CA2824" w14:textId="77777777" w:rsidTr="00BD3A27">
        <w:tc>
          <w:tcPr>
            <w:tcW w:w="9052" w:type="dxa"/>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945E0B3"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Conditions of Service</w:t>
            </w:r>
          </w:p>
        </w:tc>
      </w:tr>
      <w:tr w:rsidR="00FA758B" w:rsidRPr="003342F8" w14:paraId="7FA8F5BD"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3E72C33F"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Job Title</w:t>
            </w:r>
          </w:p>
        </w:tc>
        <w:tc>
          <w:tcPr>
            <w:tcW w:w="4536" w:type="dxa"/>
            <w:tcBorders>
              <w:top w:val="single" w:sz="5" w:space="0" w:color="000000"/>
              <w:left w:val="single" w:sz="5" w:space="0" w:color="000000"/>
              <w:bottom w:val="single" w:sz="5" w:space="0" w:color="000000"/>
              <w:right w:val="single" w:sz="5" w:space="0" w:color="000000"/>
            </w:tcBorders>
          </w:tcPr>
          <w:p w14:paraId="53B91D61"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7ADCC204"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0FE85C42"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Grade</w:t>
            </w:r>
          </w:p>
        </w:tc>
        <w:tc>
          <w:tcPr>
            <w:tcW w:w="4536" w:type="dxa"/>
            <w:tcBorders>
              <w:top w:val="single" w:sz="5" w:space="0" w:color="000000"/>
              <w:left w:val="single" w:sz="5" w:space="0" w:color="000000"/>
              <w:bottom w:val="single" w:sz="5" w:space="0" w:color="000000"/>
              <w:right w:val="single" w:sz="5" w:space="0" w:color="000000"/>
            </w:tcBorders>
          </w:tcPr>
          <w:p w14:paraId="6028088C"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059EE15F"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020C0785"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Hours per week</w:t>
            </w:r>
          </w:p>
        </w:tc>
        <w:tc>
          <w:tcPr>
            <w:tcW w:w="4536" w:type="dxa"/>
            <w:tcBorders>
              <w:top w:val="single" w:sz="5" w:space="0" w:color="000000"/>
              <w:left w:val="single" w:sz="5" w:space="0" w:color="000000"/>
              <w:bottom w:val="single" w:sz="5" w:space="0" w:color="000000"/>
              <w:right w:val="single" w:sz="5" w:space="0" w:color="000000"/>
            </w:tcBorders>
          </w:tcPr>
          <w:p w14:paraId="22893ABB"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1985047F"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3B389DED"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Weeks per year</w:t>
            </w:r>
          </w:p>
        </w:tc>
        <w:tc>
          <w:tcPr>
            <w:tcW w:w="4536" w:type="dxa"/>
            <w:tcBorders>
              <w:top w:val="single" w:sz="5" w:space="0" w:color="000000"/>
              <w:left w:val="single" w:sz="5" w:space="0" w:color="000000"/>
              <w:bottom w:val="single" w:sz="5" w:space="0" w:color="000000"/>
              <w:right w:val="single" w:sz="5" w:space="0" w:color="000000"/>
            </w:tcBorders>
          </w:tcPr>
          <w:p w14:paraId="060F7195"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48895F08"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1F0A4BCA"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Hourly Rate</w:t>
            </w:r>
          </w:p>
        </w:tc>
        <w:tc>
          <w:tcPr>
            <w:tcW w:w="4536" w:type="dxa"/>
            <w:tcBorders>
              <w:top w:val="single" w:sz="5" w:space="0" w:color="000000"/>
              <w:left w:val="single" w:sz="5" w:space="0" w:color="000000"/>
              <w:bottom w:val="single" w:sz="5" w:space="0" w:color="000000"/>
              <w:right w:val="single" w:sz="5" w:space="0" w:color="000000"/>
            </w:tcBorders>
          </w:tcPr>
          <w:p w14:paraId="690A3B14"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24A99A2D"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590F9DE8"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Spinal Column Point Range</w:t>
            </w:r>
          </w:p>
        </w:tc>
        <w:tc>
          <w:tcPr>
            <w:tcW w:w="4536" w:type="dxa"/>
            <w:tcBorders>
              <w:top w:val="single" w:sz="5" w:space="0" w:color="000000"/>
              <w:left w:val="single" w:sz="5" w:space="0" w:color="000000"/>
              <w:bottom w:val="single" w:sz="5" w:space="0" w:color="000000"/>
              <w:right w:val="single" w:sz="5" w:space="0" w:color="000000"/>
            </w:tcBorders>
          </w:tcPr>
          <w:p w14:paraId="4729AB9E"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64A5B225"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198C78A8"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Spinal Column Point</w:t>
            </w:r>
          </w:p>
        </w:tc>
        <w:tc>
          <w:tcPr>
            <w:tcW w:w="4536" w:type="dxa"/>
            <w:tcBorders>
              <w:top w:val="single" w:sz="5" w:space="0" w:color="000000"/>
              <w:left w:val="single" w:sz="5" w:space="0" w:color="000000"/>
              <w:bottom w:val="single" w:sz="5" w:space="0" w:color="000000"/>
              <w:right w:val="single" w:sz="5" w:space="0" w:color="000000"/>
            </w:tcBorders>
          </w:tcPr>
          <w:p w14:paraId="3CFD835F"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2919FB56"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43B01F17"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Annual Full-Time Salary</w:t>
            </w:r>
          </w:p>
        </w:tc>
        <w:tc>
          <w:tcPr>
            <w:tcW w:w="4536" w:type="dxa"/>
            <w:tcBorders>
              <w:top w:val="single" w:sz="5" w:space="0" w:color="000000"/>
              <w:left w:val="single" w:sz="5" w:space="0" w:color="000000"/>
              <w:bottom w:val="single" w:sz="5" w:space="0" w:color="000000"/>
              <w:right w:val="single" w:sz="5" w:space="0" w:color="000000"/>
            </w:tcBorders>
          </w:tcPr>
          <w:p w14:paraId="56A5938A"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29CC1FEC"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64CBE2CA" w14:textId="77777777" w:rsidR="00FA758B" w:rsidRPr="003342F8" w:rsidRDefault="00FA758B" w:rsidP="004D15E4">
            <w:pPr>
              <w:spacing w:before="60" w:after="60"/>
              <w:jc w:val="both"/>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Date Salary Increment Due</w:t>
            </w:r>
          </w:p>
        </w:tc>
        <w:tc>
          <w:tcPr>
            <w:tcW w:w="4536" w:type="dxa"/>
            <w:tcBorders>
              <w:top w:val="single" w:sz="5" w:space="0" w:color="000000"/>
              <w:left w:val="single" w:sz="5" w:space="0" w:color="000000"/>
              <w:bottom w:val="single" w:sz="5" w:space="0" w:color="000000"/>
              <w:right w:val="single" w:sz="5" w:space="0" w:color="000000"/>
            </w:tcBorders>
          </w:tcPr>
          <w:p w14:paraId="7CC84355"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1788F1F1" w14:textId="77777777" w:rsidTr="004D15E4">
        <w:tc>
          <w:tcPr>
            <w:tcW w:w="4516" w:type="dxa"/>
            <w:tcBorders>
              <w:top w:val="single" w:sz="5" w:space="0" w:color="000000"/>
              <w:left w:val="single" w:sz="5" w:space="0" w:color="000000"/>
              <w:bottom w:val="single" w:sz="5" w:space="0" w:color="000000"/>
              <w:right w:val="single" w:sz="5" w:space="0" w:color="000000"/>
            </w:tcBorders>
          </w:tcPr>
          <w:p w14:paraId="16F166F2" w14:textId="70676A6C"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Progression Criteria to be met for Salary Increment</w:t>
            </w:r>
          </w:p>
        </w:tc>
        <w:tc>
          <w:tcPr>
            <w:tcW w:w="4536" w:type="dxa"/>
            <w:tcBorders>
              <w:top w:val="single" w:sz="5" w:space="0" w:color="000000"/>
              <w:left w:val="single" w:sz="5" w:space="0" w:color="000000"/>
              <w:bottom w:val="single" w:sz="5" w:space="0" w:color="000000"/>
              <w:right w:val="single" w:sz="5" w:space="0" w:color="000000"/>
            </w:tcBorders>
          </w:tcPr>
          <w:p w14:paraId="46070CF5"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7B2FE9AE"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7BB66358" w14:textId="77777777"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Overtime Payments</w:t>
            </w:r>
          </w:p>
        </w:tc>
        <w:tc>
          <w:tcPr>
            <w:tcW w:w="4536" w:type="dxa"/>
            <w:tcBorders>
              <w:top w:val="single" w:sz="5" w:space="0" w:color="000000"/>
              <w:left w:val="single" w:sz="5" w:space="0" w:color="000000"/>
              <w:bottom w:val="single" w:sz="5" w:space="0" w:color="000000"/>
              <w:right w:val="single" w:sz="5" w:space="0" w:color="000000"/>
            </w:tcBorders>
          </w:tcPr>
          <w:p w14:paraId="1F0E1B09"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19A9041F" w14:textId="77777777" w:rsidTr="004D15E4">
        <w:tc>
          <w:tcPr>
            <w:tcW w:w="4516" w:type="dxa"/>
            <w:tcBorders>
              <w:top w:val="single" w:sz="5" w:space="0" w:color="000000"/>
              <w:left w:val="single" w:sz="5" w:space="0" w:color="000000"/>
              <w:bottom w:val="single" w:sz="5" w:space="0" w:color="000000"/>
              <w:right w:val="single" w:sz="5" w:space="0" w:color="000000"/>
            </w:tcBorders>
            <w:vAlign w:val="center"/>
          </w:tcPr>
          <w:p w14:paraId="7824A800" w14:textId="77777777"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Shift/unsocial hours allowance</w:t>
            </w:r>
          </w:p>
        </w:tc>
        <w:tc>
          <w:tcPr>
            <w:tcW w:w="4536" w:type="dxa"/>
            <w:tcBorders>
              <w:top w:val="single" w:sz="5" w:space="0" w:color="000000"/>
              <w:left w:val="single" w:sz="5" w:space="0" w:color="000000"/>
              <w:bottom w:val="single" w:sz="5" w:space="0" w:color="000000"/>
              <w:right w:val="single" w:sz="5" w:space="0" w:color="000000"/>
            </w:tcBorders>
          </w:tcPr>
          <w:p w14:paraId="314E0881"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64A59AD4" w14:textId="77777777" w:rsidTr="004D15E4">
        <w:tc>
          <w:tcPr>
            <w:tcW w:w="4516" w:type="dxa"/>
            <w:tcBorders>
              <w:top w:val="single" w:sz="5" w:space="0" w:color="000000"/>
              <w:left w:val="single" w:sz="5" w:space="0" w:color="000000"/>
              <w:bottom w:val="single" w:sz="5" w:space="0" w:color="000000"/>
              <w:right w:val="single" w:sz="5" w:space="0" w:color="000000"/>
            </w:tcBorders>
          </w:tcPr>
          <w:p w14:paraId="040FE924" w14:textId="784153B7"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Risk payments for hazardous duties</w:t>
            </w:r>
          </w:p>
        </w:tc>
        <w:tc>
          <w:tcPr>
            <w:tcW w:w="4536" w:type="dxa"/>
            <w:tcBorders>
              <w:top w:val="single" w:sz="5" w:space="0" w:color="000000"/>
              <w:left w:val="single" w:sz="5" w:space="0" w:color="000000"/>
              <w:bottom w:val="single" w:sz="5" w:space="0" w:color="000000"/>
              <w:right w:val="single" w:sz="5" w:space="0" w:color="000000"/>
            </w:tcBorders>
          </w:tcPr>
          <w:p w14:paraId="716FAF51"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r w:rsidR="00FA758B" w:rsidRPr="003342F8" w14:paraId="19A1113F" w14:textId="77777777" w:rsidTr="004D15E4">
        <w:tc>
          <w:tcPr>
            <w:tcW w:w="4516" w:type="dxa"/>
            <w:tcBorders>
              <w:top w:val="single" w:sz="5" w:space="0" w:color="000000"/>
              <w:left w:val="single" w:sz="5" w:space="0" w:color="000000"/>
              <w:bottom w:val="single" w:sz="5" w:space="0" w:color="000000"/>
              <w:right w:val="single" w:sz="5" w:space="0" w:color="000000"/>
            </w:tcBorders>
          </w:tcPr>
          <w:p w14:paraId="4AD958D9" w14:textId="6C73B109" w:rsidR="00FA758B" w:rsidRPr="003342F8" w:rsidRDefault="00FA758B" w:rsidP="004D15E4">
            <w:pPr>
              <w:spacing w:before="60" w:after="60"/>
              <w:textAlignment w:val="baseline"/>
              <w:rPr>
                <w:rFonts w:ascii="Aptos" w:eastAsia="Calibri" w:hAnsi="Aptos" w:cstheme="minorHAnsi"/>
                <w:b/>
                <w:color w:val="000000"/>
                <w:sz w:val="22"/>
                <w:szCs w:val="22"/>
              </w:rPr>
            </w:pPr>
            <w:r w:rsidRPr="003342F8">
              <w:rPr>
                <w:rFonts w:ascii="Aptos" w:eastAsia="Calibri" w:hAnsi="Aptos" w:cstheme="minorHAnsi"/>
                <w:b/>
                <w:color w:val="000000"/>
                <w:sz w:val="22"/>
                <w:szCs w:val="22"/>
              </w:rPr>
              <w:t>Annual Holiday Entitlement commensurate for Grade of</w:t>
            </w:r>
            <w:r w:rsidR="004D15E4" w:rsidRPr="003342F8">
              <w:rPr>
                <w:rFonts w:ascii="Aptos" w:eastAsia="Calibri" w:hAnsi="Aptos" w:cstheme="minorHAnsi"/>
                <w:b/>
                <w:color w:val="000000"/>
                <w:sz w:val="22"/>
                <w:szCs w:val="22"/>
              </w:rPr>
              <w:t xml:space="preserve"> </w:t>
            </w:r>
            <w:r w:rsidR="00BD3A27" w:rsidRPr="003342F8">
              <w:rPr>
                <w:rFonts w:ascii="Aptos" w:eastAsia="Calibri" w:hAnsi="Aptos" w:cstheme="minorHAnsi"/>
                <w:b/>
                <w:color w:val="000000"/>
                <w:sz w:val="22"/>
                <w:szCs w:val="22"/>
              </w:rPr>
              <w:t>P</w:t>
            </w:r>
            <w:r w:rsidRPr="003342F8">
              <w:rPr>
                <w:rFonts w:ascii="Aptos" w:eastAsia="Calibri" w:hAnsi="Aptos" w:cstheme="minorHAnsi"/>
                <w:b/>
                <w:color w:val="000000"/>
                <w:sz w:val="22"/>
                <w:szCs w:val="22"/>
              </w:rPr>
              <w:t>ost</w:t>
            </w:r>
          </w:p>
        </w:tc>
        <w:tc>
          <w:tcPr>
            <w:tcW w:w="4536" w:type="dxa"/>
            <w:tcBorders>
              <w:top w:val="single" w:sz="5" w:space="0" w:color="000000"/>
              <w:left w:val="single" w:sz="5" w:space="0" w:color="000000"/>
              <w:bottom w:val="single" w:sz="5" w:space="0" w:color="000000"/>
              <w:right w:val="single" w:sz="5" w:space="0" w:color="000000"/>
            </w:tcBorders>
          </w:tcPr>
          <w:p w14:paraId="0F325986" w14:textId="77777777" w:rsidR="00FA758B" w:rsidRPr="003342F8" w:rsidRDefault="00FA758B" w:rsidP="004D15E4">
            <w:pPr>
              <w:spacing w:before="60" w:after="60"/>
              <w:jc w:val="both"/>
              <w:textAlignment w:val="baseline"/>
              <w:rPr>
                <w:rFonts w:ascii="Aptos" w:eastAsia="Calibri" w:hAnsi="Aptos" w:cstheme="minorHAnsi"/>
                <w:color w:val="000000"/>
                <w:sz w:val="22"/>
                <w:szCs w:val="22"/>
              </w:rPr>
            </w:pPr>
            <w:r w:rsidRPr="003342F8">
              <w:rPr>
                <w:rFonts w:ascii="Aptos" w:eastAsia="Calibri" w:hAnsi="Aptos" w:cstheme="minorHAnsi"/>
                <w:color w:val="000000"/>
                <w:sz w:val="22"/>
                <w:szCs w:val="22"/>
              </w:rPr>
              <w:t xml:space="preserve"> </w:t>
            </w:r>
          </w:p>
        </w:tc>
      </w:tr>
    </w:tbl>
    <w:p w14:paraId="0C24B5CA" w14:textId="77777777" w:rsidR="00FA758B" w:rsidRPr="003342F8" w:rsidRDefault="00FA758B" w:rsidP="00FA758B">
      <w:pPr>
        <w:spacing w:line="269" w:lineRule="exact"/>
        <w:jc w:val="right"/>
        <w:textAlignment w:val="baseline"/>
        <w:rPr>
          <w:rFonts w:ascii="Aptos" w:hAnsi="Aptos" w:cstheme="minorHAnsi"/>
          <w:b/>
          <w:sz w:val="22"/>
          <w:szCs w:val="22"/>
        </w:rPr>
      </w:pPr>
      <w:bookmarkStart w:id="3" w:name="_Hlk531253885"/>
    </w:p>
    <w:p w14:paraId="063873AD" w14:textId="77777777" w:rsidR="00FA758B" w:rsidRPr="003342F8" w:rsidRDefault="00FA758B">
      <w:pPr>
        <w:rPr>
          <w:rFonts w:ascii="Aptos" w:hAnsi="Aptos" w:cstheme="minorHAnsi"/>
          <w:b/>
          <w:sz w:val="22"/>
          <w:szCs w:val="22"/>
        </w:rPr>
      </w:pPr>
      <w:r w:rsidRPr="003342F8">
        <w:rPr>
          <w:rFonts w:ascii="Aptos" w:hAnsi="Aptos" w:cstheme="minorHAnsi"/>
          <w:b/>
          <w:sz w:val="22"/>
          <w:szCs w:val="22"/>
        </w:rPr>
        <w:br w:type="page"/>
      </w:r>
    </w:p>
    <w:p w14:paraId="531F4DC4" w14:textId="775EADA4" w:rsidR="00FA758B" w:rsidRPr="003342F8" w:rsidRDefault="00FA758B" w:rsidP="00FA758B">
      <w:pPr>
        <w:spacing w:line="269" w:lineRule="exact"/>
        <w:jc w:val="right"/>
        <w:textAlignment w:val="baseline"/>
        <w:rPr>
          <w:rFonts w:ascii="Aptos" w:hAnsi="Aptos" w:cstheme="minorHAnsi"/>
          <w:sz w:val="22"/>
          <w:szCs w:val="22"/>
        </w:rPr>
      </w:pPr>
      <w:r w:rsidRPr="003342F8">
        <w:rPr>
          <w:rFonts w:ascii="Aptos" w:hAnsi="Aptos" w:cstheme="minorHAnsi"/>
          <w:b/>
          <w:sz w:val="22"/>
          <w:szCs w:val="22"/>
        </w:rPr>
        <w:t>Appendix C</w:t>
      </w:r>
    </w:p>
    <w:p w14:paraId="72F734A9" w14:textId="77777777" w:rsidR="00FA758B" w:rsidRPr="003342F8" w:rsidRDefault="00FA758B" w:rsidP="00FA758B">
      <w:pPr>
        <w:spacing w:line="269" w:lineRule="exact"/>
        <w:jc w:val="both"/>
        <w:textAlignment w:val="baseline"/>
        <w:rPr>
          <w:rFonts w:ascii="Aptos" w:hAnsi="Aptos" w:cstheme="minorHAnsi"/>
          <w:sz w:val="22"/>
          <w:szCs w:val="22"/>
        </w:rPr>
      </w:pPr>
    </w:p>
    <w:p w14:paraId="10AC3D25" w14:textId="274BB65D" w:rsidR="00FA758B" w:rsidRPr="003342F8" w:rsidRDefault="00FA758B" w:rsidP="00FA758B">
      <w:pPr>
        <w:pStyle w:val="Footer"/>
        <w:jc w:val="center"/>
        <w:rPr>
          <w:rFonts w:ascii="Aptos" w:eastAsia="Calibri" w:hAnsi="Aptos" w:cstheme="minorHAnsi"/>
          <w:b/>
          <w:color w:val="000000"/>
          <w:spacing w:val="-2"/>
          <w:sz w:val="22"/>
          <w:szCs w:val="22"/>
        </w:rPr>
      </w:pPr>
      <w:r w:rsidRPr="003342F8">
        <w:rPr>
          <w:rFonts w:ascii="Aptos" w:eastAsia="Calibri" w:hAnsi="Aptos" w:cstheme="minorHAnsi"/>
          <w:b/>
          <w:color w:val="000000"/>
          <w:spacing w:val="-2"/>
          <w:sz w:val="22"/>
          <w:szCs w:val="22"/>
        </w:rPr>
        <w:t xml:space="preserve">Pro-forma Template to </w:t>
      </w:r>
      <w:r w:rsidR="00BD75FB" w:rsidRPr="003342F8">
        <w:rPr>
          <w:rFonts w:ascii="Aptos" w:eastAsia="Calibri" w:hAnsi="Aptos" w:cstheme="minorHAnsi"/>
          <w:b/>
          <w:color w:val="000000"/>
          <w:spacing w:val="-2"/>
          <w:sz w:val="22"/>
          <w:szCs w:val="22"/>
        </w:rPr>
        <w:t>R</w:t>
      </w:r>
      <w:r w:rsidRPr="003342F8">
        <w:rPr>
          <w:rFonts w:ascii="Aptos" w:eastAsia="Calibri" w:hAnsi="Aptos" w:cstheme="minorHAnsi"/>
          <w:b/>
          <w:color w:val="000000"/>
          <w:spacing w:val="-2"/>
          <w:sz w:val="22"/>
          <w:szCs w:val="22"/>
        </w:rPr>
        <w:t xml:space="preserve">ecord and </w:t>
      </w:r>
      <w:r w:rsidR="00BD75FB" w:rsidRPr="003342F8">
        <w:rPr>
          <w:rFonts w:ascii="Aptos" w:eastAsia="Calibri" w:hAnsi="Aptos" w:cstheme="minorHAnsi"/>
          <w:b/>
          <w:color w:val="000000"/>
          <w:spacing w:val="-2"/>
          <w:sz w:val="22"/>
          <w:szCs w:val="22"/>
        </w:rPr>
        <w:t>M</w:t>
      </w:r>
      <w:r w:rsidRPr="003342F8">
        <w:rPr>
          <w:rFonts w:ascii="Aptos" w:eastAsia="Calibri" w:hAnsi="Aptos" w:cstheme="minorHAnsi"/>
          <w:b/>
          <w:color w:val="000000"/>
          <w:spacing w:val="-2"/>
          <w:sz w:val="22"/>
          <w:szCs w:val="22"/>
        </w:rPr>
        <w:t>onitor Agency Workers</w:t>
      </w:r>
      <w:r w:rsidR="00187A4A">
        <w:rPr>
          <w:rFonts w:ascii="Aptos" w:eastAsia="Calibri" w:hAnsi="Aptos" w:cstheme="minorHAnsi"/>
          <w:b/>
          <w:color w:val="000000"/>
          <w:spacing w:val="-2"/>
          <w:sz w:val="22"/>
          <w:szCs w:val="22"/>
        </w:rPr>
        <w:t>’</w:t>
      </w:r>
      <w:r w:rsidRPr="003342F8">
        <w:rPr>
          <w:rFonts w:ascii="Aptos" w:eastAsia="Calibri" w:hAnsi="Aptos" w:cstheme="minorHAnsi"/>
          <w:b/>
          <w:color w:val="000000"/>
          <w:spacing w:val="-2"/>
          <w:sz w:val="22"/>
          <w:szCs w:val="22"/>
        </w:rPr>
        <w:t xml:space="preserve"> Assignments</w:t>
      </w:r>
    </w:p>
    <w:p w14:paraId="3AB270C2" w14:textId="77777777" w:rsidR="00FA758B" w:rsidRPr="003342F8" w:rsidRDefault="00FA758B" w:rsidP="00FA758B">
      <w:pPr>
        <w:pStyle w:val="Footer"/>
        <w:rPr>
          <w:rFonts w:ascii="Aptos" w:eastAsia="Calibri" w:hAnsi="Aptos" w:cstheme="minorHAnsi"/>
          <w:b/>
          <w:color w:val="000000"/>
          <w:spacing w:val="-2"/>
          <w:sz w:val="22"/>
          <w:szCs w:val="22"/>
        </w:rPr>
      </w:pPr>
    </w:p>
    <w:p w14:paraId="1A58599D" w14:textId="2DACF912" w:rsidR="00FA758B" w:rsidRPr="003342F8" w:rsidRDefault="00FA758B" w:rsidP="00FA758B">
      <w:pPr>
        <w:pStyle w:val="Footer"/>
        <w:rPr>
          <w:rFonts w:ascii="Aptos" w:eastAsia="Calibri" w:hAnsi="Aptos" w:cstheme="minorHAnsi"/>
          <w:bCs/>
          <w:color w:val="000000"/>
          <w:spacing w:val="-2"/>
          <w:sz w:val="22"/>
          <w:szCs w:val="22"/>
        </w:rPr>
      </w:pPr>
      <w:r w:rsidRPr="003342F8">
        <w:rPr>
          <w:rFonts w:ascii="Aptos" w:eastAsia="Calibri" w:hAnsi="Aptos" w:cstheme="minorHAnsi"/>
          <w:bCs/>
          <w:color w:val="000000"/>
          <w:spacing w:val="-2"/>
          <w:sz w:val="22"/>
          <w:szCs w:val="22"/>
        </w:rPr>
        <w:t>(</w:t>
      </w:r>
      <w:r w:rsidR="00CC6003" w:rsidRPr="003342F8">
        <w:rPr>
          <w:rFonts w:ascii="Aptos" w:eastAsia="Calibri" w:hAnsi="Aptos" w:cstheme="minorHAnsi"/>
          <w:bCs/>
          <w:color w:val="000000"/>
          <w:spacing w:val="-2"/>
          <w:sz w:val="22"/>
          <w:szCs w:val="22"/>
        </w:rPr>
        <w:t>Pro-forma Excel Workbook template available in secure website</w:t>
      </w:r>
      <w:r w:rsidR="00735D3F">
        <w:rPr>
          <w:rFonts w:ascii="Aptos" w:eastAsia="Calibri" w:hAnsi="Aptos" w:cstheme="minorHAnsi"/>
          <w:bCs/>
          <w:color w:val="000000"/>
          <w:spacing w:val="-2"/>
          <w:sz w:val="22"/>
          <w:szCs w:val="22"/>
        </w:rPr>
        <w:t xml:space="preserve"> &gt; Model Policies &gt; </w:t>
      </w:r>
      <w:r w:rsidR="003E5D1D">
        <w:rPr>
          <w:rFonts w:ascii="Aptos" w:eastAsia="Calibri" w:hAnsi="Aptos" w:cstheme="minorHAnsi"/>
          <w:bCs/>
          <w:color w:val="000000"/>
          <w:spacing w:val="-2"/>
          <w:sz w:val="22"/>
          <w:szCs w:val="22"/>
        </w:rPr>
        <w:t>Agency Workers Regulations</w:t>
      </w:r>
      <w:r w:rsidR="00CC6003" w:rsidRPr="003342F8">
        <w:rPr>
          <w:rFonts w:ascii="Aptos" w:eastAsia="Calibri" w:hAnsi="Aptos" w:cstheme="minorHAnsi"/>
          <w:bCs/>
          <w:color w:val="000000"/>
          <w:spacing w:val="-2"/>
          <w:sz w:val="22"/>
          <w:szCs w:val="22"/>
        </w:rPr>
        <w:t xml:space="preserve"> &gt; Related Forms</w:t>
      </w:r>
      <w:r w:rsidRPr="003342F8">
        <w:rPr>
          <w:rFonts w:ascii="Aptos" w:eastAsia="Calibri" w:hAnsi="Aptos" w:cstheme="minorHAnsi"/>
          <w:bCs/>
          <w:color w:val="000000"/>
          <w:spacing w:val="-2"/>
          <w:sz w:val="22"/>
          <w:szCs w:val="22"/>
        </w:rPr>
        <w:t xml:space="preserve">). </w:t>
      </w:r>
    </w:p>
    <w:p w14:paraId="29E3F026" w14:textId="77777777" w:rsidR="00FA758B" w:rsidRPr="003342F8" w:rsidRDefault="00FA758B" w:rsidP="00FA758B">
      <w:pPr>
        <w:pStyle w:val="Footer"/>
        <w:rPr>
          <w:rFonts w:ascii="Aptos" w:eastAsia="Calibri" w:hAnsi="Aptos" w:cstheme="minorHAnsi"/>
          <w:b/>
          <w:color w:val="000000"/>
          <w:spacing w:val="-2"/>
          <w:sz w:val="22"/>
          <w:szCs w:val="22"/>
        </w:rPr>
      </w:pPr>
    </w:p>
    <w:p w14:paraId="6B7AF3D4" w14:textId="61C57795" w:rsidR="00FA758B" w:rsidRPr="003342F8" w:rsidRDefault="007461DE" w:rsidP="00FA758B">
      <w:pPr>
        <w:pStyle w:val="Footer"/>
        <w:rPr>
          <w:rFonts w:ascii="Aptos" w:eastAsia="Calibri" w:hAnsi="Aptos" w:cstheme="minorHAnsi"/>
          <w:b/>
          <w:color w:val="000000"/>
          <w:spacing w:val="-2"/>
          <w:sz w:val="22"/>
          <w:szCs w:val="22"/>
        </w:rPr>
      </w:pPr>
      <w:r>
        <w:rPr>
          <w:rFonts w:ascii="Aptos" w:eastAsia="Calibri" w:hAnsi="Aptos" w:cstheme="minorHAnsi"/>
          <w:b/>
          <w:color w:val="000000"/>
          <w:spacing w:val="-2"/>
          <w:sz w:val="22"/>
          <w:szCs w:val="22"/>
        </w:rPr>
        <w:object w:dxaOrig="1517" w:dyaOrig="988" w14:anchorId="6F896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7" o:title=""/>
          </v:shape>
          <o:OLEObject Type="Embed" ProgID="Excel.Sheet.12" ShapeID="_x0000_i1025" DrawAspect="Icon" ObjectID="_1793456099" r:id="rId18"/>
        </w:object>
      </w:r>
    </w:p>
    <w:bookmarkEnd w:id="3"/>
    <w:p w14:paraId="27BF7046" w14:textId="77777777" w:rsidR="00CD1C37" w:rsidRPr="003342F8" w:rsidRDefault="00CD1C37" w:rsidP="00CD1C37">
      <w:pPr>
        <w:rPr>
          <w:rFonts w:ascii="Aptos" w:hAnsi="Aptos" w:cs="Calibri"/>
          <w:b/>
          <w:sz w:val="22"/>
          <w:szCs w:val="22"/>
        </w:rPr>
      </w:pPr>
    </w:p>
    <w:p w14:paraId="5DF3FAEB" w14:textId="77777777" w:rsidR="00CD1C37" w:rsidRPr="003342F8" w:rsidRDefault="00CD1C37">
      <w:pPr>
        <w:rPr>
          <w:rFonts w:ascii="Aptos" w:hAnsi="Aptos" w:cs="Arial"/>
          <w:sz w:val="22"/>
          <w:szCs w:val="22"/>
        </w:rPr>
      </w:pPr>
    </w:p>
    <w:sectPr w:rsidR="00CD1C37" w:rsidRPr="003342F8" w:rsidSect="0094799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6FB0B" w14:textId="77777777" w:rsidR="0067548F" w:rsidRDefault="0067548F">
      <w:r>
        <w:separator/>
      </w:r>
    </w:p>
  </w:endnote>
  <w:endnote w:type="continuationSeparator" w:id="0">
    <w:p w14:paraId="6B39DA3F" w14:textId="77777777" w:rsidR="0067548F" w:rsidRDefault="0067548F">
      <w:r>
        <w:continuationSeparator/>
      </w:r>
    </w:p>
  </w:endnote>
  <w:endnote w:type="continuationNotice" w:id="1">
    <w:p w14:paraId="4E2E56CC" w14:textId="77777777" w:rsidR="0067548F" w:rsidRDefault="00675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D931" w14:textId="77777777" w:rsidR="00FA758B" w:rsidRDefault="00FA758B" w:rsidP="00FA758B">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3345F" w14:textId="50DD85FD" w:rsidR="001D34A2" w:rsidRPr="009940E6" w:rsidRDefault="001D34A2" w:rsidP="008C68FF">
    <w:pPr>
      <w:pStyle w:val="Footer"/>
      <w:jc w:val="center"/>
      <w:rPr>
        <w:rFonts w:ascii="Aptos" w:hAnsi="Aptos" w:cs="Arial"/>
        <w:color w:val="808080" w:themeColor="background1" w:themeShade="80"/>
        <w:sz w:val="18"/>
        <w:szCs w:val="18"/>
      </w:rPr>
    </w:pPr>
    <w:r w:rsidRPr="009940E6">
      <w:rPr>
        <w:rFonts w:ascii="Aptos" w:hAnsi="Aptos" w:cs="Arial"/>
        <w:color w:val="808080" w:themeColor="background1" w:themeShade="80"/>
        <w:sz w:val="18"/>
        <w:szCs w:val="18"/>
      </w:rPr>
      <w:t xml:space="preserve">Page </w:t>
    </w:r>
    <w:r w:rsidRPr="009940E6">
      <w:rPr>
        <w:rFonts w:ascii="Aptos" w:hAnsi="Aptos" w:cs="Arial"/>
        <w:color w:val="808080" w:themeColor="background1" w:themeShade="80"/>
        <w:sz w:val="18"/>
        <w:szCs w:val="18"/>
      </w:rPr>
      <w:fldChar w:fldCharType="begin"/>
    </w:r>
    <w:r w:rsidRPr="009940E6">
      <w:rPr>
        <w:rFonts w:ascii="Aptos" w:hAnsi="Aptos" w:cs="Arial"/>
        <w:color w:val="808080" w:themeColor="background1" w:themeShade="80"/>
        <w:sz w:val="18"/>
        <w:szCs w:val="18"/>
      </w:rPr>
      <w:instrText xml:space="preserve"> PAGE </w:instrText>
    </w:r>
    <w:r w:rsidRPr="009940E6">
      <w:rPr>
        <w:rFonts w:ascii="Aptos" w:hAnsi="Aptos" w:cs="Arial"/>
        <w:color w:val="808080" w:themeColor="background1" w:themeShade="80"/>
        <w:sz w:val="18"/>
        <w:szCs w:val="18"/>
      </w:rPr>
      <w:fldChar w:fldCharType="separate"/>
    </w:r>
    <w:r w:rsidR="00123672">
      <w:rPr>
        <w:rFonts w:ascii="Aptos" w:hAnsi="Aptos" w:cs="Arial"/>
        <w:noProof/>
        <w:color w:val="808080" w:themeColor="background1" w:themeShade="80"/>
        <w:sz w:val="18"/>
        <w:szCs w:val="18"/>
      </w:rPr>
      <w:t>11</w:t>
    </w:r>
    <w:r w:rsidRPr="009940E6">
      <w:rPr>
        <w:rFonts w:ascii="Aptos" w:hAnsi="Aptos" w:cs="Arial"/>
        <w:color w:val="808080" w:themeColor="background1" w:themeShade="80"/>
        <w:sz w:val="18"/>
        <w:szCs w:val="18"/>
      </w:rPr>
      <w:fldChar w:fldCharType="end"/>
    </w:r>
    <w:r w:rsidRPr="009940E6">
      <w:rPr>
        <w:rFonts w:ascii="Aptos" w:hAnsi="Aptos" w:cs="Arial"/>
        <w:color w:val="808080" w:themeColor="background1" w:themeShade="80"/>
        <w:sz w:val="18"/>
        <w:szCs w:val="18"/>
      </w:rPr>
      <w:t xml:space="preserve"> of </w:t>
    </w:r>
    <w:r w:rsidRPr="009940E6">
      <w:rPr>
        <w:rFonts w:ascii="Aptos" w:hAnsi="Aptos" w:cs="Arial"/>
        <w:color w:val="808080" w:themeColor="background1" w:themeShade="80"/>
        <w:sz w:val="18"/>
        <w:szCs w:val="18"/>
      </w:rPr>
      <w:fldChar w:fldCharType="begin"/>
    </w:r>
    <w:r w:rsidRPr="009940E6">
      <w:rPr>
        <w:rFonts w:ascii="Aptos" w:hAnsi="Aptos" w:cs="Arial"/>
        <w:color w:val="808080" w:themeColor="background1" w:themeShade="80"/>
        <w:sz w:val="18"/>
        <w:szCs w:val="18"/>
      </w:rPr>
      <w:instrText xml:space="preserve"> NUMPAGES </w:instrText>
    </w:r>
    <w:r w:rsidRPr="009940E6">
      <w:rPr>
        <w:rFonts w:ascii="Aptos" w:hAnsi="Aptos" w:cs="Arial"/>
        <w:color w:val="808080" w:themeColor="background1" w:themeShade="80"/>
        <w:sz w:val="18"/>
        <w:szCs w:val="18"/>
      </w:rPr>
      <w:fldChar w:fldCharType="separate"/>
    </w:r>
    <w:r w:rsidR="00123672">
      <w:rPr>
        <w:rFonts w:ascii="Aptos" w:hAnsi="Aptos" w:cs="Arial"/>
        <w:noProof/>
        <w:color w:val="808080" w:themeColor="background1" w:themeShade="80"/>
        <w:sz w:val="18"/>
        <w:szCs w:val="18"/>
      </w:rPr>
      <w:t>11</w:t>
    </w:r>
    <w:r w:rsidRPr="009940E6">
      <w:rPr>
        <w:rFonts w:ascii="Aptos" w:hAnsi="Aptos" w:cs="Arial"/>
        <w:color w:val="808080" w:themeColor="background1" w:themeShade="80"/>
        <w:sz w:val="18"/>
        <w:szCs w:val="18"/>
      </w:rPr>
      <w:fldChar w:fldCharType="end"/>
    </w:r>
  </w:p>
  <w:p w14:paraId="751CF7A7" w14:textId="7CEEE64C" w:rsidR="001D34A2" w:rsidRPr="009940E6" w:rsidRDefault="00C02331" w:rsidP="00AF3640">
    <w:pPr>
      <w:pStyle w:val="Footer"/>
      <w:jc w:val="center"/>
      <w:rPr>
        <w:rFonts w:ascii="Aptos" w:hAnsi="Aptos" w:cs="Arial"/>
        <w:color w:val="808080" w:themeColor="background1" w:themeShade="80"/>
        <w:sz w:val="18"/>
        <w:szCs w:val="18"/>
      </w:rPr>
    </w:pPr>
    <w:r w:rsidRPr="009940E6">
      <w:rPr>
        <w:rFonts w:ascii="Aptos" w:hAnsi="Aptos" w:cs="Arial"/>
        <w:color w:val="808080" w:themeColor="background1" w:themeShade="80"/>
        <w:sz w:val="18"/>
        <w:szCs w:val="18"/>
      </w:rPr>
      <w:t xml:space="preserve">© </w:t>
    </w:r>
    <w:r w:rsidR="001D34A2" w:rsidRPr="009940E6">
      <w:rPr>
        <w:rFonts w:ascii="Aptos" w:hAnsi="Aptos" w:cs="Arial"/>
        <w:color w:val="808080" w:themeColor="background1" w:themeShade="80"/>
        <w:sz w:val="18"/>
        <w:szCs w:val="18"/>
      </w:rPr>
      <w:t xml:space="preserve">The Schools HR Co-operative </w:t>
    </w:r>
  </w:p>
  <w:p w14:paraId="7355A505" w14:textId="77777777" w:rsidR="001D34A2" w:rsidRPr="009940E6" w:rsidRDefault="001D34A2" w:rsidP="00AF3640">
    <w:pPr>
      <w:pStyle w:val="Footer"/>
      <w:jc w:val="center"/>
      <w:rPr>
        <w:rFonts w:ascii="Aptos" w:hAnsi="Aptos" w:cs="Calibri"/>
        <w:color w:val="808080" w:themeColor="background1" w:themeShade="80"/>
        <w:sz w:val="18"/>
        <w:szCs w:val="18"/>
        <w:lang w:val="en-NZ"/>
      </w:rPr>
    </w:pPr>
    <w:r w:rsidRPr="009940E6">
      <w:rPr>
        <w:rFonts w:ascii="Aptos" w:hAnsi="Aptos" w:cs="Calibri"/>
        <w:color w:val="808080" w:themeColor="background1" w:themeShade="80"/>
        <w:sz w:val="18"/>
        <w:szCs w:val="18"/>
        <w:lang w:val="en-NZ"/>
      </w:rPr>
      <w:t xml:space="preserve"> Unit 1 Britannia Court, The Green, West Drayton, UB7 7PN</w:t>
    </w:r>
  </w:p>
  <w:p w14:paraId="37A8ABA0" w14:textId="77777777" w:rsidR="001D34A2" w:rsidRPr="009940E6" w:rsidRDefault="001D34A2" w:rsidP="00AF3640">
    <w:pPr>
      <w:pStyle w:val="Footer"/>
      <w:jc w:val="center"/>
      <w:rPr>
        <w:rFonts w:ascii="Aptos" w:hAnsi="Aptos" w:cs="Arial"/>
        <w:color w:val="808080" w:themeColor="background1" w:themeShade="80"/>
        <w:sz w:val="18"/>
        <w:szCs w:val="18"/>
      </w:rPr>
    </w:pPr>
    <w:r w:rsidRPr="009940E6">
      <w:rPr>
        <w:rFonts w:ascii="Aptos" w:hAnsi="Aptos" w:cs="Arial"/>
        <w:color w:val="808080" w:themeColor="background1" w:themeShade="80"/>
        <w:sz w:val="18"/>
        <w:szCs w:val="18"/>
      </w:rPr>
      <w:t>Tel: 01895 717499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AB815" w14:textId="77777777" w:rsidR="0067548F" w:rsidRDefault="0067548F">
      <w:r>
        <w:separator/>
      </w:r>
    </w:p>
  </w:footnote>
  <w:footnote w:type="continuationSeparator" w:id="0">
    <w:p w14:paraId="768A9765" w14:textId="77777777" w:rsidR="0067548F" w:rsidRDefault="0067548F">
      <w:r>
        <w:continuationSeparator/>
      </w:r>
    </w:p>
  </w:footnote>
  <w:footnote w:type="continuationNotice" w:id="1">
    <w:p w14:paraId="2C328939" w14:textId="77777777" w:rsidR="0067548F" w:rsidRDefault="006754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D780" w14:textId="47B5E761" w:rsidR="00D245AF" w:rsidRPr="002A0782" w:rsidRDefault="00D245AF" w:rsidP="00D245AF">
    <w:pPr>
      <w:pStyle w:val="Header"/>
      <w:jc w:val="right"/>
      <w:rPr>
        <w:rFonts w:ascii="Aptos" w:hAnsi="Aptos" w:cstheme="minorHAnsi"/>
        <w:b/>
        <w:bCs/>
        <w:color w:val="3B3838" w:themeColor="background2" w:themeShade="40"/>
        <w:sz w:val="22"/>
        <w:szCs w:val="22"/>
        <w:lang w:val="en-NZ"/>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2A9E" w14:textId="77777777" w:rsidR="00036DE4" w:rsidRPr="002A0782" w:rsidRDefault="00036DE4" w:rsidP="00036DE4">
    <w:pPr>
      <w:pStyle w:val="Header"/>
      <w:jc w:val="right"/>
      <w:rPr>
        <w:rFonts w:ascii="Aptos" w:hAnsi="Aptos" w:cstheme="minorHAnsi"/>
        <w:b/>
        <w:bCs/>
        <w:color w:val="3B3838" w:themeColor="background2" w:themeShade="40"/>
        <w:sz w:val="22"/>
        <w:szCs w:val="22"/>
        <w:lang w:val="en-NZ"/>
      </w:rPr>
    </w:pPr>
    <w:r w:rsidRPr="002A0782">
      <w:rPr>
        <w:rFonts w:ascii="Aptos" w:hAnsi="Aptos" w:cstheme="minorHAnsi"/>
        <w:b/>
        <w:bCs/>
        <w:color w:val="3B3838" w:themeColor="background2" w:themeShade="40"/>
        <w:sz w:val="22"/>
        <w:szCs w:val="22"/>
        <w:lang w:val="en-NZ"/>
      </w:rPr>
      <w:t>UNCONTROLLED VERSION</w:t>
    </w:r>
  </w:p>
  <w:p w14:paraId="57F92816" w14:textId="77777777" w:rsidR="00036DE4" w:rsidRDefault="00036D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103"/>
    <w:multiLevelType w:val="multilevel"/>
    <w:tmpl w:val="ABE87566"/>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23468"/>
    <w:multiLevelType w:val="hybridMultilevel"/>
    <w:tmpl w:val="64F695A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7143FF8"/>
    <w:multiLevelType w:val="hybridMultilevel"/>
    <w:tmpl w:val="D43236CA"/>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 w15:restartNumberingAfterBreak="0">
    <w:nsid w:val="0C73531D"/>
    <w:multiLevelType w:val="hybridMultilevel"/>
    <w:tmpl w:val="978C3CEE"/>
    <w:lvl w:ilvl="0" w:tplc="802CAF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F64AA"/>
    <w:multiLevelType w:val="multilevel"/>
    <w:tmpl w:val="B9A21BD8"/>
    <w:lvl w:ilvl="0">
      <w:start w:val="1"/>
      <w:numFmt w:val="decimal"/>
      <w:lvlText w:val="%1."/>
      <w:lvlJc w:val="left"/>
      <w:pPr>
        <w:tabs>
          <w:tab w:val="left" w:pos="720"/>
        </w:tabs>
        <w:ind w:left="720"/>
      </w:pPr>
      <w:rPr>
        <w:rFonts w:ascii="Aptos" w:eastAsia="Calibri" w:hAnsi="Aptos" w:hint="default"/>
        <w:b/>
        <w:strike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4445AF"/>
    <w:multiLevelType w:val="hybridMultilevel"/>
    <w:tmpl w:val="44108CAE"/>
    <w:lvl w:ilvl="0" w:tplc="F4A63E8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15D49D8"/>
    <w:multiLevelType w:val="hybridMultilevel"/>
    <w:tmpl w:val="424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E73AE"/>
    <w:multiLevelType w:val="hybridMultilevel"/>
    <w:tmpl w:val="A31005C8"/>
    <w:lvl w:ilvl="0" w:tplc="802CAF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B584D"/>
    <w:multiLevelType w:val="hybridMultilevel"/>
    <w:tmpl w:val="2D580EA8"/>
    <w:lvl w:ilvl="0" w:tplc="17B84F00">
      <w:start w:val="1"/>
      <w:numFmt w:val="lowerRoman"/>
      <w:lvlText w:val="(%1)"/>
      <w:lvlJc w:val="left"/>
      <w:pPr>
        <w:ind w:left="1440" w:hanging="720"/>
      </w:pPr>
      <w:rPr>
        <w:rFonts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E36959"/>
    <w:multiLevelType w:val="hybridMultilevel"/>
    <w:tmpl w:val="EDA696B2"/>
    <w:lvl w:ilvl="0" w:tplc="696A89FC">
      <w:start w:val="1"/>
      <w:numFmt w:val="decimal"/>
      <w:lvlText w:val="%1."/>
      <w:lvlJc w:val="left"/>
      <w:pPr>
        <w:tabs>
          <w:tab w:val="num" w:pos="454"/>
        </w:tabs>
        <w:ind w:left="454" w:hanging="454"/>
      </w:pPr>
      <w:rPr>
        <w:rFonts w:ascii="Arial" w:hAnsi="Arial"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07267B"/>
    <w:multiLevelType w:val="hybridMultilevel"/>
    <w:tmpl w:val="322C2492"/>
    <w:lvl w:ilvl="0" w:tplc="802CAF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816CF"/>
    <w:multiLevelType w:val="hybridMultilevel"/>
    <w:tmpl w:val="5B263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62409"/>
    <w:multiLevelType w:val="multilevel"/>
    <w:tmpl w:val="321A6C7A"/>
    <w:lvl w:ilvl="0">
      <w:start w:val="4"/>
      <w:numFmt w:val="decimal"/>
      <w:lvlText w:val="%1."/>
      <w:lvlJc w:val="left"/>
      <w:pPr>
        <w:tabs>
          <w:tab w:val="left" w:pos="720"/>
        </w:tabs>
        <w:ind w:left="720"/>
      </w:pPr>
      <w:rPr>
        <w:rFonts w:ascii="Aptos" w:eastAsia="Calibri" w:hAnsi="Aptos" w:hint="default"/>
        <w:b/>
        <w:strike w:val="0"/>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4E319A"/>
    <w:multiLevelType w:val="hybridMultilevel"/>
    <w:tmpl w:val="4776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71955"/>
    <w:multiLevelType w:val="hybridMultilevel"/>
    <w:tmpl w:val="2DF8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80109"/>
    <w:multiLevelType w:val="multilevel"/>
    <w:tmpl w:val="46D4CAD4"/>
    <w:lvl w:ilvl="0">
      <w:start w:val="7"/>
      <w:numFmt w:val="decimal"/>
      <w:lvlText w:val="%1."/>
      <w:lvlJc w:val="left"/>
      <w:pPr>
        <w:tabs>
          <w:tab w:val="left" w:pos="720"/>
        </w:tabs>
        <w:ind w:left="720"/>
      </w:pPr>
      <w:rPr>
        <w:rFonts w:ascii="Aptos" w:eastAsia="Calibri" w:hAnsi="Aptos" w:hint="default"/>
        <w:b/>
        <w:strike w:val="0"/>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331F88"/>
    <w:multiLevelType w:val="hybridMultilevel"/>
    <w:tmpl w:val="504E2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DC0D13"/>
    <w:multiLevelType w:val="hybridMultilevel"/>
    <w:tmpl w:val="861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F4C09"/>
    <w:multiLevelType w:val="hybridMultilevel"/>
    <w:tmpl w:val="60D6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2594F"/>
    <w:multiLevelType w:val="hybridMultilevel"/>
    <w:tmpl w:val="FE30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A02E31"/>
    <w:multiLevelType w:val="hybridMultilevel"/>
    <w:tmpl w:val="8BF81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E2B3E"/>
    <w:multiLevelType w:val="hybridMultilevel"/>
    <w:tmpl w:val="2F3C8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7F27D31"/>
    <w:multiLevelType w:val="hybridMultilevel"/>
    <w:tmpl w:val="1550DED2"/>
    <w:lvl w:ilvl="0" w:tplc="B650D11C">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F47F6"/>
    <w:multiLevelType w:val="hybridMultilevel"/>
    <w:tmpl w:val="012A0C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79050043"/>
    <w:multiLevelType w:val="multilevel"/>
    <w:tmpl w:val="705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0"/>
  </w:num>
  <w:num w:numId="4">
    <w:abstractNumId w:val="14"/>
  </w:num>
  <w:num w:numId="5">
    <w:abstractNumId w:val="13"/>
  </w:num>
  <w:num w:numId="6">
    <w:abstractNumId w:val="19"/>
  </w:num>
  <w:num w:numId="7">
    <w:abstractNumId w:val="2"/>
  </w:num>
  <w:num w:numId="8">
    <w:abstractNumId w:val="6"/>
  </w:num>
  <w:num w:numId="9">
    <w:abstractNumId w:val="11"/>
  </w:num>
  <w:num w:numId="10">
    <w:abstractNumId w:val="22"/>
  </w:num>
  <w:num w:numId="11">
    <w:abstractNumId w:val="18"/>
  </w:num>
  <w:num w:numId="12">
    <w:abstractNumId w:val="20"/>
  </w:num>
  <w:num w:numId="13">
    <w:abstractNumId w:val="17"/>
  </w:num>
  <w:num w:numId="14">
    <w:abstractNumId w:val="16"/>
  </w:num>
  <w:num w:numId="15">
    <w:abstractNumId w:val="24"/>
  </w:num>
  <w:num w:numId="16">
    <w:abstractNumId w:val="9"/>
  </w:num>
  <w:num w:numId="17">
    <w:abstractNumId w:val="8"/>
  </w:num>
  <w:num w:numId="18">
    <w:abstractNumId w:val="5"/>
  </w:num>
  <w:num w:numId="19">
    <w:abstractNumId w:val="21"/>
  </w:num>
  <w:num w:numId="20">
    <w:abstractNumId w:val="4"/>
  </w:num>
  <w:num w:numId="21">
    <w:abstractNumId w:val="0"/>
  </w:num>
  <w:num w:numId="22">
    <w:abstractNumId w:val="12"/>
  </w:num>
  <w:num w:numId="23">
    <w:abstractNumId w:val="1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25"/>
    <w:rsid w:val="000041A2"/>
    <w:rsid w:val="00015D5F"/>
    <w:rsid w:val="00016E4F"/>
    <w:rsid w:val="00020916"/>
    <w:rsid w:val="00036DE4"/>
    <w:rsid w:val="00061E26"/>
    <w:rsid w:val="00062679"/>
    <w:rsid w:val="00084CD8"/>
    <w:rsid w:val="00091205"/>
    <w:rsid w:val="00095900"/>
    <w:rsid w:val="000A25A3"/>
    <w:rsid w:val="000B7173"/>
    <w:rsid w:val="000C1AA3"/>
    <w:rsid w:val="000D46E9"/>
    <w:rsid w:val="000D613E"/>
    <w:rsid w:val="001004D0"/>
    <w:rsid w:val="00100729"/>
    <w:rsid w:val="00103BF0"/>
    <w:rsid w:val="00106024"/>
    <w:rsid w:val="00112F1B"/>
    <w:rsid w:val="00120389"/>
    <w:rsid w:val="00123672"/>
    <w:rsid w:val="00131638"/>
    <w:rsid w:val="001336B9"/>
    <w:rsid w:val="00140851"/>
    <w:rsid w:val="00142E7F"/>
    <w:rsid w:val="00145D93"/>
    <w:rsid w:val="0014696E"/>
    <w:rsid w:val="0015471A"/>
    <w:rsid w:val="001605FF"/>
    <w:rsid w:val="00170B70"/>
    <w:rsid w:val="001739E5"/>
    <w:rsid w:val="0018629C"/>
    <w:rsid w:val="00187A4A"/>
    <w:rsid w:val="00193FF4"/>
    <w:rsid w:val="00194AFC"/>
    <w:rsid w:val="00197954"/>
    <w:rsid w:val="001A0F25"/>
    <w:rsid w:val="001A14AF"/>
    <w:rsid w:val="001A6F60"/>
    <w:rsid w:val="001C644A"/>
    <w:rsid w:val="001C7CCF"/>
    <w:rsid w:val="001D34A2"/>
    <w:rsid w:val="001D40C6"/>
    <w:rsid w:val="001E067B"/>
    <w:rsid w:val="001E1DAD"/>
    <w:rsid w:val="001E4EF6"/>
    <w:rsid w:val="001F66F9"/>
    <w:rsid w:val="00207405"/>
    <w:rsid w:val="002105B5"/>
    <w:rsid w:val="00210C71"/>
    <w:rsid w:val="002175F5"/>
    <w:rsid w:val="00217A7F"/>
    <w:rsid w:val="002472B1"/>
    <w:rsid w:val="002538E3"/>
    <w:rsid w:val="0026191C"/>
    <w:rsid w:val="00262637"/>
    <w:rsid w:val="0026721D"/>
    <w:rsid w:val="00270E77"/>
    <w:rsid w:val="00272D59"/>
    <w:rsid w:val="00291243"/>
    <w:rsid w:val="00296882"/>
    <w:rsid w:val="00297F90"/>
    <w:rsid w:val="002A0782"/>
    <w:rsid w:val="002A59B4"/>
    <w:rsid w:val="002C78CB"/>
    <w:rsid w:val="002D3472"/>
    <w:rsid w:val="002D6FC0"/>
    <w:rsid w:val="002F097D"/>
    <w:rsid w:val="002F587E"/>
    <w:rsid w:val="00311963"/>
    <w:rsid w:val="00325A50"/>
    <w:rsid w:val="003342F8"/>
    <w:rsid w:val="00355881"/>
    <w:rsid w:val="00362FC9"/>
    <w:rsid w:val="00367992"/>
    <w:rsid w:val="00375D2D"/>
    <w:rsid w:val="00396CA6"/>
    <w:rsid w:val="003A2387"/>
    <w:rsid w:val="003B3879"/>
    <w:rsid w:val="003B5456"/>
    <w:rsid w:val="003C119C"/>
    <w:rsid w:val="003C778A"/>
    <w:rsid w:val="003E369E"/>
    <w:rsid w:val="003E5D1D"/>
    <w:rsid w:val="003F58AC"/>
    <w:rsid w:val="00405441"/>
    <w:rsid w:val="00406FF9"/>
    <w:rsid w:val="0041081C"/>
    <w:rsid w:val="00430E24"/>
    <w:rsid w:val="00432440"/>
    <w:rsid w:val="00434B7E"/>
    <w:rsid w:val="00441611"/>
    <w:rsid w:val="00447C39"/>
    <w:rsid w:val="00457FF1"/>
    <w:rsid w:val="00465020"/>
    <w:rsid w:val="0046505E"/>
    <w:rsid w:val="00472115"/>
    <w:rsid w:val="0047283E"/>
    <w:rsid w:val="00472AF4"/>
    <w:rsid w:val="00475765"/>
    <w:rsid w:val="00485B23"/>
    <w:rsid w:val="00492EFC"/>
    <w:rsid w:val="00495EFC"/>
    <w:rsid w:val="004A03BE"/>
    <w:rsid w:val="004A5676"/>
    <w:rsid w:val="004C18F2"/>
    <w:rsid w:val="004D15E4"/>
    <w:rsid w:val="004E1298"/>
    <w:rsid w:val="004E1A73"/>
    <w:rsid w:val="004E4B32"/>
    <w:rsid w:val="00502631"/>
    <w:rsid w:val="00516954"/>
    <w:rsid w:val="00516C9C"/>
    <w:rsid w:val="005207A1"/>
    <w:rsid w:val="005445A8"/>
    <w:rsid w:val="0054751F"/>
    <w:rsid w:val="00556016"/>
    <w:rsid w:val="00560FA8"/>
    <w:rsid w:val="00565D34"/>
    <w:rsid w:val="00584F00"/>
    <w:rsid w:val="005857D9"/>
    <w:rsid w:val="005A3E32"/>
    <w:rsid w:val="005B06F5"/>
    <w:rsid w:val="005B1F3D"/>
    <w:rsid w:val="005B4733"/>
    <w:rsid w:val="005C7D18"/>
    <w:rsid w:val="005E3AA1"/>
    <w:rsid w:val="005E48D0"/>
    <w:rsid w:val="005E4F9A"/>
    <w:rsid w:val="005F7755"/>
    <w:rsid w:val="00601BC4"/>
    <w:rsid w:val="00622E4E"/>
    <w:rsid w:val="006417CE"/>
    <w:rsid w:val="006701CB"/>
    <w:rsid w:val="00674C3E"/>
    <w:rsid w:val="0067548F"/>
    <w:rsid w:val="00690954"/>
    <w:rsid w:val="006B5E25"/>
    <w:rsid w:val="006C06AD"/>
    <w:rsid w:val="006D280E"/>
    <w:rsid w:val="006D6E08"/>
    <w:rsid w:val="006F0B0B"/>
    <w:rsid w:val="00701D0B"/>
    <w:rsid w:val="00701D15"/>
    <w:rsid w:val="00711327"/>
    <w:rsid w:val="007122F0"/>
    <w:rsid w:val="007160E1"/>
    <w:rsid w:val="00717D42"/>
    <w:rsid w:val="007238EB"/>
    <w:rsid w:val="00724ED1"/>
    <w:rsid w:val="00725181"/>
    <w:rsid w:val="00735D3F"/>
    <w:rsid w:val="00744728"/>
    <w:rsid w:val="007461DE"/>
    <w:rsid w:val="00746503"/>
    <w:rsid w:val="007474CA"/>
    <w:rsid w:val="0075249E"/>
    <w:rsid w:val="00766154"/>
    <w:rsid w:val="0076741E"/>
    <w:rsid w:val="007801FE"/>
    <w:rsid w:val="007817DF"/>
    <w:rsid w:val="00792170"/>
    <w:rsid w:val="007921AA"/>
    <w:rsid w:val="00794B58"/>
    <w:rsid w:val="007A2330"/>
    <w:rsid w:val="007A70BC"/>
    <w:rsid w:val="007A70F9"/>
    <w:rsid w:val="007B4F1D"/>
    <w:rsid w:val="007C0FD8"/>
    <w:rsid w:val="007C3F49"/>
    <w:rsid w:val="007D3280"/>
    <w:rsid w:val="007E19F0"/>
    <w:rsid w:val="007F5902"/>
    <w:rsid w:val="008066FB"/>
    <w:rsid w:val="00816D39"/>
    <w:rsid w:val="008238BD"/>
    <w:rsid w:val="00825E9E"/>
    <w:rsid w:val="00830037"/>
    <w:rsid w:val="008521FB"/>
    <w:rsid w:val="00857465"/>
    <w:rsid w:val="00861361"/>
    <w:rsid w:val="008615BC"/>
    <w:rsid w:val="008617CC"/>
    <w:rsid w:val="00863F58"/>
    <w:rsid w:val="00866797"/>
    <w:rsid w:val="00866881"/>
    <w:rsid w:val="00871D49"/>
    <w:rsid w:val="00882373"/>
    <w:rsid w:val="008843A2"/>
    <w:rsid w:val="008869DB"/>
    <w:rsid w:val="00886C76"/>
    <w:rsid w:val="00890458"/>
    <w:rsid w:val="00893B03"/>
    <w:rsid w:val="00896C97"/>
    <w:rsid w:val="008A094D"/>
    <w:rsid w:val="008B23AC"/>
    <w:rsid w:val="008B627E"/>
    <w:rsid w:val="008C68FF"/>
    <w:rsid w:val="008D0E83"/>
    <w:rsid w:val="008E2E37"/>
    <w:rsid w:val="008F3942"/>
    <w:rsid w:val="008F3FA6"/>
    <w:rsid w:val="008F51EE"/>
    <w:rsid w:val="0090086F"/>
    <w:rsid w:val="0091742B"/>
    <w:rsid w:val="00917649"/>
    <w:rsid w:val="0092275B"/>
    <w:rsid w:val="00926D9A"/>
    <w:rsid w:val="00937D59"/>
    <w:rsid w:val="009402AE"/>
    <w:rsid w:val="00947997"/>
    <w:rsid w:val="0095391F"/>
    <w:rsid w:val="00971AC3"/>
    <w:rsid w:val="009815F5"/>
    <w:rsid w:val="00984FC6"/>
    <w:rsid w:val="00993343"/>
    <w:rsid w:val="009940E6"/>
    <w:rsid w:val="00994E82"/>
    <w:rsid w:val="00995774"/>
    <w:rsid w:val="009A0251"/>
    <w:rsid w:val="009B5317"/>
    <w:rsid w:val="009C1AAB"/>
    <w:rsid w:val="009C4F2A"/>
    <w:rsid w:val="009C7BD4"/>
    <w:rsid w:val="009D07B7"/>
    <w:rsid w:val="009D6185"/>
    <w:rsid w:val="009D768E"/>
    <w:rsid w:val="009E1942"/>
    <w:rsid w:val="009F429C"/>
    <w:rsid w:val="009F56BD"/>
    <w:rsid w:val="009F6FF8"/>
    <w:rsid w:val="00A11913"/>
    <w:rsid w:val="00A17127"/>
    <w:rsid w:val="00A17FEE"/>
    <w:rsid w:val="00A203FC"/>
    <w:rsid w:val="00A215C4"/>
    <w:rsid w:val="00A2165C"/>
    <w:rsid w:val="00A31A55"/>
    <w:rsid w:val="00A31CD2"/>
    <w:rsid w:val="00A36718"/>
    <w:rsid w:val="00A367FC"/>
    <w:rsid w:val="00A3682A"/>
    <w:rsid w:val="00A4162C"/>
    <w:rsid w:val="00A42E0C"/>
    <w:rsid w:val="00A45C36"/>
    <w:rsid w:val="00A5548B"/>
    <w:rsid w:val="00A73056"/>
    <w:rsid w:val="00A7793F"/>
    <w:rsid w:val="00A87EA5"/>
    <w:rsid w:val="00A91BD7"/>
    <w:rsid w:val="00A97238"/>
    <w:rsid w:val="00AA27B9"/>
    <w:rsid w:val="00AA405C"/>
    <w:rsid w:val="00AB0013"/>
    <w:rsid w:val="00AD0C95"/>
    <w:rsid w:val="00AD2546"/>
    <w:rsid w:val="00AD627C"/>
    <w:rsid w:val="00AE0A88"/>
    <w:rsid w:val="00AE2B1E"/>
    <w:rsid w:val="00AE2CB0"/>
    <w:rsid w:val="00AE6B0E"/>
    <w:rsid w:val="00AF0DBC"/>
    <w:rsid w:val="00AF273E"/>
    <w:rsid w:val="00AF3640"/>
    <w:rsid w:val="00B0042C"/>
    <w:rsid w:val="00B077C4"/>
    <w:rsid w:val="00B16669"/>
    <w:rsid w:val="00B2526A"/>
    <w:rsid w:val="00B25BE4"/>
    <w:rsid w:val="00B3389F"/>
    <w:rsid w:val="00B44380"/>
    <w:rsid w:val="00B50F5E"/>
    <w:rsid w:val="00B510FE"/>
    <w:rsid w:val="00B60720"/>
    <w:rsid w:val="00B60D61"/>
    <w:rsid w:val="00B66178"/>
    <w:rsid w:val="00B67652"/>
    <w:rsid w:val="00B814FA"/>
    <w:rsid w:val="00B82ADD"/>
    <w:rsid w:val="00B86917"/>
    <w:rsid w:val="00BB4A97"/>
    <w:rsid w:val="00BB4BF1"/>
    <w:rsid w:val="00BC5E82"/>
    <w:rsid w:val="00BD3A27"/>
    <w:rsid w:val="00BD67E2"/>
    <w:rsid w:val="00BD75FB"/>
    <w:rsid w:val="00BE6200"/>
    <w:rsid w:val="00BE7085"/>
    <w:rsid w:val="00BF3448"/>
    <w:rsid w:val="00C02331"/>
    <w:rsid w:val="00C03BED"/>
    <w:rsid w:val="00C05F92"/>
    <w:rsid w:val="00C06330"/>
    <w:rsid w:val="00C07C30"/>
    <w:rsid w:val="00C1281C"/>
    <w:rsid w:val="00C145C1"/>
    <w:rsid w:val="00C43045"/>
    <w:rsid w:val="00C44AFC"/>
    <w:rsid w:val="00C46099"/>
    <w:rsid w:val="00C47E7E"/>
    <w:rsid w:val="00C51F1A"/>
    <w:rsid w:val="00C55A89"/>
    <w:rsid w:val="00C63439"/>
    <w:rsid w:val="00C70553"/>
    <w:rsid w:val="00C817C7"/>
    <w:rsid w:val="00C82235"/>
    <w:rsid w:val="00C8429D"/>
    <w:rsid w:val="00C84CCC"/>
    <w:rsid w:val="00C87D91"/>
    <w:rsid w:val="00CA1B2E"/>
    <w:rsid w:val="00CA6AEE"/>
    <w:rsid w:val="00CB600E"/>
    <w:rsid w:val="00CC49FD"/>
    <w:rsid w:val="00CC6003"/>
    <w:rsid w:val="00CD1C37"/>
    <w:rsid w:val="00CD3477"/>
    <w:rsid w:val="00CD4AC3"/>
    <w:rsid w:val="00CD4EC0"/>
    <w:rsid w:val="00CE4CE3"/>
    <w:rsid w:val="00D0304C"/>
    <w:rsid w:val="00D14085"/>
    <w:rsid w:val="00D15E7C"/>
    <w:rsid w:val="00D16297"/>
    <w:rsid w:val="00D16A3B"/>
    <w:rsid w:val="00D205A2"/>
    <w:rsid w:val="00D245AF"/>
    <w:rsid w:val="00D26841"/>
    <w:rsid w:val="00D26E44"/>
    <w:rsid w:val="00D35AC5"/>
    <w:rsid w:val="00D439A7"/>
    <w:rsid w:val="00D47029"/>
    <w:rsid w:val="00D50FDE"/>
    <w:rsid w:val="00D524AB"/>
    <w:rsid w:val="00D5276B"/>
    <w:rsid w:val="00D53770"/>
    <w:rsid w:val="00D64645"/>
    <w:rsid w:val="00D70744"/>
    <w:rsid w:val="00D72A59"/>
    <w:rsid w:val="00D7394A"/>
    <w:rsid w:val="00D80894"/>
    <w:rsid w:val="00D91CFD"/>
    <w:rsid w:val="00D97E5B"/>
    <w:rsid w:val="00DA251B"/>
    <w:rsid w:val="00DA65A5"/>
    <w:rsid w:val="00DB17FF"/>
    <w:rsid w:val="00DB3661"/>
    <w:rsid w:val="00DC0D90"/>
    <w:rsid w:val="00DC751E"/>
    <w:rsid w:val="00DE60BD"/>
    <w:rsid w:val="00DE642C"/>
    <w:rsid w:val="00E003FF"/>
    <w:rsid w:val="00E0202F"/>
    <w:rsid w:val="00E02B3F"/>
    <w:rsid w:val="00E10EB1"/>
    <w:rsid w:val="00E20406"/>
    <w:rsid w:val="00E26C56"/>
    <w:rsid w:val="00E278E2"/>
    <w:rsid w:val="00E3260D"/>
    <w:rsid w:val="00E42184"/>
    <w:rsid w:val="00E44D3F"/>
    <w:rsid w:val="00E53E3A"/>
    <w:rsid w:val="00E56E07"/>
    <w:rsid w:val="00E64AFB"/>
    <w:rsid w:val="00E65B03"/>
    <w:rsid w:val="00EB516A"/>
    <w:rsid w:val="00EC592B"/>
    <w:rsid w:val="00EC6922"/>
    <w:rsid w:val="00ED03D2"/>
    <w:rsid w:val="00EE597F"/>
    <w:rsid w:val="00EF47CA"/>
    <w:rsid w:val="00F0325A"/>
    <w:rsid w:val="00F050B7"/>
    <w:rsid w:val="00F21D80"/>
    <w:rsid w:val="00F414B0"/>
    <w:rsid w:val="00F451D0"/>
    <w:rsid w:val="00F52A58"/>
    <w:rsid w:val="00F53248"/>
    <w:rsid w:val="00F606DA"/>
    <w:rsid w:val="00F62A3A"/>
    <w:rsid w:val="00F63B60"/>
    <w:rsid w:val="00F73351"/>
    <w:rsid w:val="00F74F6C"/>
    <w:rsid w:val="00F92A8F"/>
    <w:rsid w:val="00F96038"/>
    <w:rsid w:val="00FA44B9"/>
    <w:rsid w:val="00FA758B"/>
    <w:rsid w:val="00FA7DF3"/>
    <w:rsid w:val="00FB6838"/>
    <w:rsid w:val="00FB7D7F"/>
    <w:rsid w:val="00FC04EA"/>
    <w:rsid w:val="00FD0EC5"/>
    <w:rsid w:val="00FE1F37"/>
    <w:rsid w:val="00FF253D"/>
    <w:rsid w:val="00FF5E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5946B"/>
  <w15:chartTrackingRefBased/>
  <w15:docId w15:val="{459616AA-E4B3-41F4-ABF7-4F6E162D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F92"/>
    <w:rPr>
      <w:sz w:val="24"/>
      <w:szCs w:val="24"/>
      <w:lang w:val="en-GB" w:eastAsia="en-GB"/>
    </w:rPr>
  </w:style>
  <w:style w:type="paragraph" w:styleId="Heading1">
    <w:name w:val="heading 1"/>
    <w:basedOn w:val="Normal"/>
    <w:next w:val="Normal"/>
    <w:qFormat/>
    <w:rsid w:val="001A0F25"/>
    <w:pPr>
      <w:keepNext/>
      <w:jc w:val="center"/>
      <w:outlineLvl w:val="0"/>
    </w:pPr>
    <w:rPr>
      <w:rFonts w:ascii="Arial" w:hAnsi="Arial" w:cs="Arial"/>
      <w:sz w:val="44"/>
      <w:szCs w:val="44"/>
      <w:lang w:eastAsia="en-US"/>
    </w:rPr>
  </w:style>
  <w:style w:type="paragraph" w:styleId="Heading2">
    <w:name w:val="heading 2"/>
    <w:basedOn w:val="Normal"/>
    <w:next w:val="Normal"/>
    <w:link w:val="Heading2Char"/>
    <w:unhideWhenUsed/>
    <w:qFormat/>
    <w:rsid w:val="0083003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65D34"/>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0F25"/>
    <w:pPr>
      <w:jc w:val="right"/>
    </w:pPr>
    <w:rPr>
      <w:b/>
      <w:sz w:val="72"/>
      <w:szCs w:val="20"/>
      <w:lang w:val="en-US" w:eastAsia="en-US"/>
    </w:rPr>
  </w:style>
  <w:style w:type="paragraph" w:styleId="Header">
    <w:name w:val="header"/>
    <w:basedOn w:val="Normal"/>
    <w:link w:val="HeaderChar"/>
    <w:rsid w:val="0018629C"/>
    <w:pPr>
      <w:tabs>
        <w:tab w:val="center" w:pos="4153"/>
        <w:tab w:val="right" w:pos="8306"/>
      </w:tabs>
    </w:pPr>
  </w:style>
  <w:style w:type="paragraph" w:styleId="Footer">
    <w:name w:val="footer"/>
    <w:basedOn w:val="Normal"/>
    <w:link w:val="FooterChar"/>
    <w:uiPriority w:val="99"/>
    <w:rsid w:val="0018629C"/>
    <w:pPr>
      <w:tabs>
        <w:tab w:val="center" w:pos="4153"/>
        <w:tab w:val="right" w:pos="8306"/>
      </w:tabs>
    </w:pPr>
  </w:style>
  <w:style w:type="character" w:customStyle="1" w:styleId="FooterChar">
    <w:name w:val="Footer Char"/>
    <w:link w:val="Footer"/>
    <w:uiPriority w:val="99"/>
    <w:rsid w:val="00560FA8"/>
    <w:rPr>
      <w:sz w:val="24"/>
      <w:szCs w:val="24"/>
    </w:rPr>
  </w:style>
  <w:style w:type="table" w:styleId="TableGrid">
    <w:name w:val="Table Grid"/>
    <w:basedOn w:val="TableNormal"/>
    <w:rsid w:val="0009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91F"/>
    <w:pPr>
      <w:ind w:left="720"/>
    </w:pPr>
  </w:style>
  <w:style w:type="paragraph" w:styleId="BalloonText">
    <w:name w:val="Balloon Text"/>
    <w:basedOn w:val="Normal"/>
    <w:link w:val="BalloonTextChar"/>
    <w:rsid w:val="006417CE"/>
    <w:rPr>
      <w:rFonts w:ascii="Tahoma" w:hAnsi="Tahoma" w:cs="Tahoma"/>
      <w:sz w:val="16"/>
      <w:szCs w:val="16"/>
    </w:rPr>
  </w:style>
  <w:style w:type="character" w:customStyle="1" w:styleId="BalloonTextChar">
    <w:name w:val="Balloon Text Char"/>
    <w:link w:val="BalloonText"/>
    <w:rsid w:val="006417CE"/>
    <w:rPr>
      <w:rFonts w:ascii="Tahoma" w:hAnsi="Tahoma" w:cs="Tahoma"/>
      <w:sz w:val="16"/>
      <w:szCs w:val="16"/>
    </w:rPr>
  </w:style>
  <w:style w:type="paragraph" w:styleId="NormalWeb">
    <w:name w:val="Normal (Web)"/>
    <w:basedOn w:val="Normal"/>
    <w:uiPriority w:val="99"/>
    <w:rsid w:val="006D280E"/>
    <w:pPr>
      <w:spacing w:before="100" w:beforeAutospacing="1" w:after="100" w:afterAutospacing="1"/>
    </w:pPr>
    <w:rPr>
      <w:rFonts w:ascii="Arial Unicode MS" w:eastAsia="Arial Unicode MS" w:hAnsi="Arial Unicode MS" w:cs="Arial Unicode MS"/>
      <w:lang w:eastAsia="en-US"/>
    </w:rPr>
  </w:style>
  <w:style w:type="paragraph" w:customStyle="1" w:styleId="legp2paratext">
    <w:name w:val="legp2paratext"/>
    <w:basedOn w:val="Normal"/>
    <w:rsid w:val="00DE60BD"/>
    <w:pPr>
      <w:spacing w:before="100" w:beforeAutospacing="1" w:after="100" w:afterAutospacing="1"/>
    </w:pPr>
  </w:style>
  <w:style w:type="paragraph" w:customStyle="1" w:styleId="legclearfix">
    <w:name w:val="legclearfix"/>
    <w:basedOn w:val="Normal"/>
    <w:rsid w:val="00DE60BD"/>
    <w:pPr>
      <w:spacing w:before="100" w:beforeAutospacing="1" w:after="100" w:afterAutospacing="1"/>
    </w:pPr>
  </w:style>
  <w:style w:type="character" w:customStyle="1" w:styleId="legds">
    <w:name w:val="legds"/>
    <w:rsid w:val="00DE60BD"/>
  </w:style>
  <w:style w:type="paragraph" w:customStyle="1" w:styleId="legp2text">
    <w:name w:val="legp2text"/>
    <w:basedOn w:val="Normal"/>
    <w:rsid w:val="00DE60BD"/>
    <w:pPr>
      <w:spacing w:before="100" w:beforeAutospacing="1" w:after="100" w:afterAutospacing="1"/>
    </w:pPr>
  </w:style>
  <w:style w:type="character" w:customStyle="1" w:styleId="Heading3Char">
    <w:name w:val="Heading 3 Char"/>
    <w:link w:val="Heading3"/>
    <w:semiHidden/>
    <w:rsid w:val="00565D34"/>
    <w:rPr>
      <w:rFonts w:ascii="Calibri Light" w:eastAsia="Times New Roman" w:hAnsi="Calibri Light" w:cs="Times New Roman"/>
      <w:b/>
      <w:bCs/>
      <w:sz w:val="26"/>
      <w:szCs w:val="26"/>
    </w:rPr>
  </w:style>
  <w:style w:type="paragraph" w:customStyle="1" w:styleId="legp1paratext">
    <w:name w:val="legp1paratext"/>
    <w:basedOn w:val="Normal"/>
    <w:rsid w:val="00565D34"/>
    <w:pPr>
      <w:spacing w:before="100" w:beforeAutospacing="1" w:after="100" w:afterAutospacing="1"/>
    </w:pPr>
  </w:style>
  <w:style w:type="character" w:customStyle="1" w:styleId="legp1no">
    <w:name w:val="legp1no"/>
    <w:rsid w:val="00565D34"/>
  </w:style>
  <w:style w:type="paragraph" w:customStyle="1" w:styleId="legrhs">
    <w:name w:val="legrhs"/>
    <w:basedOn w:val="Normal"/>
    <w:rsid w:val="00565D34"/>
    <w:pPr>
      <w:spacing w:before="100" w:beforeAutospacing="1" w:after="100" w:afterAutospacing="1"/>
    </w:pPr>
  </w:style>
  <w:style w:type="character" w:customStyle="1" w:styleId="Heading2Char">
    <w:name w:val="Heading 2 Char"/>
    <w:link w:val="Heading2"/>
    <w:rsid w:val="00830037"/>
    <w:rPr>
      <w:rFonts w:ascii="Calibri Light" w:eastAsia="Times New Roman" w:hAnsi="Calibri Light" w:cs="Times New Roman"/>
      <w:b/>
      <w:bCs/>
      <w:i/>
      <w:iCs/>
      <w:sz w:val="28"/>
      <w:szCs w:val="28"/>
    </w:rPr>
  </w:style>
  <w:style w:type="character" w:styleId="Strong">
    <w:name w:val="Strong"/>
    <w:uiPriority w:val="22"/>
    <w:qFormat/>
    <w:rsid w:val="00362FC9"/>
    <w:rPr>
      <w:b/>
      <w:bCs/>
    </w:rPr>
  </w:style>
  <w:style w:type="character" w:styleId="Hyperlink">
    <w:name w:val="Hyperlink"/>
    <w:uiPriority w:val="99"/>
    <w:unhideWhenUsed/>
    <w:rsid w:val="00362FC9"/>
    <w:rPr>
      <w:color w:val="0000FF"/>
      <w:u w:val="single"/>
    </w:rPr>
  </w:style>
  <w:style w:type="character" w:styleId="Emphasis">
    <w:name w:val="Emphasis"/>
    <w:uiPriority w:val="20"/>
    <w:qFormat/>
    <w:rsid w:val="0041081C"/>
    <w:rPr>
      <w:i/>
      <w:iCs/>
    </w:rPr>
  </w:style>
  <w:style w:type="character" w:customStyle="1" w:styleId="UnresolvedMention">
    <w:name w:val="Unresolved Mention"/>
    <w:uiPriority w:val="99"/>
    <w:semiHidden/>
    <w:unhideWhenUsed/>
    <w:rsid w:val="00CD1C37"/>
    <w:rPr>
      <w:color w:val="808080"/>
      <w:shd w:val="clear" w:color="auto" w:fill="E6E6E6"/>
    </w:rPr>
  </w:style>
  <w:style w:type="character" w:styleId="FollowedHyperlink">
    <w:name w:val="FollowedHyperlink"/>
    <w:basedOn w:val="DefaultParagraphFont"/>
    <w:rsid w:val="007238EB"/>
    <w:rPr>
      <w:color w:val="954F72" w:themeColor="followedHyperlink"/>
      <w:u w:val="single"/>
    </w:rPr>
  </w:style>
  <w:style w:type="character" w:customStyle="1" w:styleId="HeaderChar">
    <w:name w:val="Header Char"/>
    <w:basedOn w:val="DefaultParagraphFont"/>
    <w:link w:val="Header"/>
    <w:rsid w:val="00D245AF"/>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278">
      <w:bodyDiv w:val="1"/>
      <w:marLeft w:val="0"/>
      <w:marRight w:val="0"/>
      <w:marTop w:val="0"/>
      <w:marBottom w:val="0"/>
      <w:divBdr>
        <w:top w:val="none" w:sz="0" w:space="0" w:color="auto"/>
        <w:left w:val="none" w:sz="0" w:space="0" w:color="auto"/>
        <w:bottom w:val="none" w:sz="0" w:space="0" w:color="auto"/>
        <w:right w:val="none" w:sz="0" w:space="0" w:color="auto"/>
      </w:divBdr>
    </w:div>
    <w:div w:id="392002518">
      <w:bodyDiv w:val="1"/>
      <w:marLeft w:val="0"/>
      <w:marRight w:val="0"/>
      <w:marTop w:val="0"/>
      <w:marBottom w:val="0"/>
      <w:divBdr>
        <w:top w:val="none" w:sz="0" w:space="0" w:color="auto"/>
        <w:left w:val="none" w:sz="0" w:space="0" w:color="auto"/>
        <w:bottom w:val="none" w:sz="0" w:space="0" w:color="auto"/>
        <w:right w:val="none" w:sz="0" w:space="0" w:color="auto"/>
      </w:divBdr>
    </w:div>
    <w:div w:id="931812571">
      <w:bodyDiv w:val="1"/>
      <w:marLeft w:val="0"/>
      <w:marRight w:val="0"/>
      <w:marTop w:val="0"/>
      <w:marBottom w:val="0"/>
      <w:divBdr>
        <w:top w:val="none" w:sz="0" w:space="0" w:color="auto"/>
        <w:left w:val="none" w:sz="0" w:space="0" w:color="auto"/>
        <w:bottom w:val="none" w:sz="0" w:space="0" w:color="auto"/>
        <w:right w:val="none" w:sz="0" w:space="0" w:color="auto"/>
      </w:divBdr>
    </w:div>
    <w:div w:id="1199588122">
      <w:bodyDiv w:val="1"/>
      <w:marLeft w:val="0"/>
      <w:marRight w:val="0"/>
      <w:marTop w:val="0"/>
      <w:marBottom w:val="0"/>
      <w:divBdr>
        <w:top w:val="none" w:sz="0" w:space="0" w:color="auto"/>
        <w:left w:val="none" w:sz="0" w:space="0" w:color="auto"/>
        <w:bottom w:val="none" w:sz="0" w:space="0" w:color="auto"/>
        <w:right w:val="none" w:sz="0" w:space="0" w:color="auto"/>
      </w:divBdr>
    </w:div>
    <w:div w:id="1218275250">
      <w:bodyDiv w:val="1"/>
      <w:marLeft w:val="0"/>
      <w:marRight w:val="0"/>
      <w:marTop w:val="0"/>
      <w:marBottom w:val="0"/>
      <w:divBdr>
        <w:top w:val="none" w:sz="0" w:space="0" w:color="auto"/>
        <w:left w:val="none" w:sz="0" w:space="0" w:color="auto"/>
        <w:bottom w:val="none" w:sz="0" w:space="0" w:color="auto"/>
        <w:right w:val="none" w:sz="0" w:space="0" w:color="auto"/>
      </w:divBdr>
    </w:div>
    <w:div w:id="1519780358">
      <w:bodyDiv w:val="1"/>
      <w:marLeft w:val="0"/>
      <w:marRight w:val="0"/>
      <w:marTop w:val="0"/>
      <w:marBottom w:val="0"/>
      <w:divBdr>
        <w:top w:val="none" w:sz="0" w:space="0" w:color="auto"/>
        <w:left w:val="none" w:sz="0" w:space="0" w:color="auto"/>
        <w:bottom w:val="none" w:sz="0" w:space="0" w:color="auto"/>
        <w:right w:val="none" w:sz="0" w:space="0" w:color="auto"/>
      </w:divBdr>
    </w:div>
    <w:div w:id="1909802333">
      <w:bodyDiv w:val="1"/>
      <w:marLeft w:val="0"/>
      <w:marRight w:val="0"/>
      <w:marTop w:val="0"/>
      <w:marBottom w:val="0"/>
      <w:divBdr>
        <w:top w:val="none" w:sz="0" w:space="0" w:color="auto"/>
        <w:left w:val="none" w:sz="0" w:space="0" w:color="auto"/>
        <w:bottom w:val="none" w:sz="0" w:space="0" w:color="auto"/>
        <w:right w:val="none" w:sz="0" w:space="0" w:color="auto"/>
      </w:divBdr>
    </w:div>
    <w:div w:id="1943145469">
      <w:bodyDiv w:val="1"/>
      <w:marLeft w:val="0"/>
      <w:marRight w:val="0"/>
      <w:marTop w:val="0"/>
      <w:marBottom w:val="0"/>
      <w:divBdr>
        <w:top w:val="none" w:sz="0" w:space="0" w:color="auto"/>
        <w:left w:val="none" w:sz="0" w:space="0" w:color="auto"/>
        <w:bottom w:val="none" w:sz="0" w:space="0" w:color="auto"/>
        <w:right w:val="none" w:sz="0" w:space="0" w:color="auto"/>
      </w:divBdr>
    </w:div>
    <w:div w:id="19659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uidance/deal-for-schools-hiring-supply-teachers-and-agency-workers"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B391-6634-4453-A643-6BF95EA8265D}">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2.xml><?xml version="1.0" encoding="utf-8"?>
<ds:datastoreItem xmlns:ds="http://schemas.openxmlformats.org/officeDocument/2006/customXml" ds:itemID="{9C52FA42-2E02-41CE-AD7D-26FF00BA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F84F5-C674-4537-A532-9EEC892B83B8}">
  <ds:schemaRefs>
    <ds:schemaRef ds:uri="http://schemas.microsoft.com/sharepoint/v3/contenttype/forms"/>
  </ds:schemaRefs>
</ds:datastoreItem>
</file>

<file path=customXml/itemProps4.xml><?xml version="1.0" encoding="utf-8"?>
<ds:datastoreItem xmlns:ds="http://schemas.openxmlformats.org/officeDocument/2006/customXml" ds:itemID="{1F92684C-B8F8-4D42-9F4C-CB671C78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2809</Words>
  <Characters>16012</Characters>
  <Application>Microsoft Office Word</Application>
  <DocSecurity>2</DocSecurity>
  <Lines>133</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Agency Workers Regulations Guidance</vt:lpstr>
      <vt:lpstr>    /</vt:lpstr>
    </vt:vector>
  </TitlesOfParts>
  <Company>The Schools HR Co-operative</Company>
  <LinksUpToDate>false</LinksUpToDate>
  <CharactersWithSpaces>18784</CharactersWithSpaces>
  <SharedDoc>false</SharedDoc>
  <HLinks>
    <vt:vector size="18" baseType="variant">
      <vt:variant>
        <vt:i4>5570587</vt:i4>
      </vt:variant>
      <vt:variant>
        <vt:i4>10</vt:i4>
      </vt:variant>
      <vt:variant>
        <vt:i4>0</vt:i4>
      </vt:variant>
      <vt:variant>
        <vt:i4>5</vt:i4>
      </vt:variant>
      <vt:variant>
        <vt:lpwstr>https://www.lgpsmember.org/more/apc/lost.php</vt:lpwstr>
      </vt:variant>
      <vt:variant>
        <vt:lpwstr/>
      </vt:variant>
      <vt:variant>
        <vt:i4>1638400</vt:i4>
      </vt:variant>
      <vt:variant>
        <vt:i4>3</vt:i4>
      </vt:variant>
      <vt:variant>
        <vt:i4>0</vt:i4>
      </vt:variant>
      <vt:variant>
        <vt:i4>5</vt:i4>
      </vt:variant>
      <vt:variant>
        <vt:lpwstr>https://schoolshrcooperative.co.uk/school/PolicyDetails?id=58</vt:lpwstr>
      </vt:variant>
      <vt:variant>
        <vt:lpwstr/>
      </vt:variant>
      <vt:variant>
        <vt:i4>1769472</vt:i4>
      </vt:variant>
      <vt:variant>
        <vt:i4>0</vt:i4>
      </vt:variant>
      <vt:variant>
        <vt:i4>0</vt:i4>
      </vt:variant>
      <vt:variant>
        <vt:i4>5</vt:i4>
      </vt:variant>
      <vt:variant>
        <vt:lpwstr>https://schoolshrcooperative.co.uk/school/PolicyDetails?id=74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Workers Regulations Guidance</dc:title>
  <dc:subject/>
  <dc:creator>The Schools HR Co-operative</dc:creator>
  <cp:keywords/>
  <dc:description>Property of The Schools HR Co-operative</dc:description>
  <cp:lastModifiedBy>Susan Yu</cp:lastModifiedBy>
  <cp:revision>5</cp:revision>
  <cp:lastPrinted>2024-11-18T17:28:00Z</cp:lastPrinted>
  <dcterms:created xsi:type="dcterms:W3CDTF">2024-11-18T17:12:00Z</dcterms:created>
  <dcterms:modified xsi:type="dcterms:W3CDTF">2024-11-18T17:28:00Z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