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99" w:rsidRDefault="00B1242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AACDB16" wp14:editId="00B03C10">
            <wp:extent cx="6425219" cy="1076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0077" cy="108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23" w:rsidRDefault="00B12423"/>
    <w:p w:rsidR="00B12423" w:rsidRDefault="00B12423">
      <w:r>
        <w:t>These are the themes which are covered in the Year 5 curriculum for SRE. Depending on the needs of the children and questions raised other topics can be covered. All SRE is covered in Year 5 through the science curriculum or visits to the Life Caravan or specific needs of the current year group.</w:t>
      </w:r>
    </w:p>
    <w:sectPr w:rsidR="00B12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23"/>
    <w:rsid w:val="00835316"/>
    <w:rsid w:val="00840499"/>
    <w:rsid w:val="00B1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FA16B-721D-440E-A5DB-2C5CEB14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frances.kenny</dc:creator>
  <cp:keywords/>
  <dc:description/>
  <cp:lastModifiedBy>frances.kenny</cp:lastModifiedBy>
  <cp:revision>2</cp:revision>
  <dcterms:created xsi:type="dcterms:W3CDTF">2018-09-19T15:06:00Z</dcterms:created>
  <dcterms:modified xsi:type="dcterms:W3CDTF">2018-09-19T15:06:00Z</dcterms:modified>
</cp:coreProperties>
</file>