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03825A" w14:textId="288E5462" w:rsidR="003954BD" w:rsidRDefault="00D61A06" w:rsidP="0069601E">
      <w:pPr>
        <w:pStyle w:val="Title"/>
        <w:jc w:val="both"/>
      </w:pPr>
      <w:r>
        <w:rPr>
          <w:noProof/>
        </w:rPr>
        <w:drawing>
          <wp:inline distT="0" distB="0" distL="0" distR="0" wp14:anchorId="7C5F0F36" wp14:editId="7BF2B172">
            <wp:extent cx="5677535" cy="1876425"/>
            <wp:effectExtent l="0" t="0" r="0" b="9525"/>
            <wp:docPr id="185406218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677535" cy="1876425"/>
                    </a:xfrm>
                    <a:prstGeom prst="rect">
                      <a:avLst/>
                    </a:prstGeom>
                    <a:noFill/>
                  </pic:spPr>
                </pic:pic>
              </a:graphicData>
            </a:graphic>
          </wp:inline>
        </w:drawing>
      </w:r>
    </w:p>
    <w:p w14:paraId="14739497" w14:textId="77777777" w:rsidR="00874EE0" w:rsidRDefault="00874EE0" w:rsidP="0069601E">
      <w:pPr>
        <w:pStyle w:val="Title"/>
        <w:jc w:val="both"/>
      </w:pPr>
    </w:p>
    <w:p w14:paraId="0821BBBF" w14:textId="77777777" w:rsidR="00874EE0" w:rsidRDefault="00874EE0" w:rsidP="0069601E">
      <w:pPr>
        <w:pStyle w:val="Title"/>
        <w:jc w:val="both"/>
      </w:pPr>
    </w:p>
    <w:p w14:paraId="1E10E993" w14:textId="77777777" w:rsidR="00D61A06" w:rsidRDefault="00D61A06" w:rsidP="0069601E">
      <w:pPr>
        <w:pStyle w:val="Title"/>
        <w:jc w:val="both"/>
      </w:pPr>
    </w:p>
    <w:p w14:paraId="59DB41CF" w14:textId="40E74768" w:rsidR="003954BD" w:rsidRDefault="00786CC2" w:rsidP="0069601E">
      <w:pPr>
        <w:pStyle w:val="Title"/>
        <w:jc w:val="both"/>
      </w:pPr>
      <w:r w:rsidRPr="00786CC2">
        <w:rPr>
          <w:noProof/>
        </w:rPr>
        <w:drawing>
          <wp:inline distT="0" distB="0" distL="0" distR="0" wp14:anchorId="03AB4903" wp14:editId="2DFD61B9">
            <wp:extent cx="4525006" cy="3115110"/>
            <wp:effectExtent l="0" t="0" r="0" b="9525"/>
            <wp:docPr id="1970958881" name="Picture 1" descr="A document with text on i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0958881" name="Picture 1" descr="A document with text on it&#10;&#10;AI-generated content may be incorrect."/>
                    <pic:cNvPicPr/>
                  </pic:nvPicPr>
                  <pic:blipFill>
                    <a:blip r:embed="rId11"/>
                    <a:stretch>
                      <a:fillRect/>
                    </a:stretch>
                  </pic:blipFill>
                  <pic:spPr>
                    <a:xfrm>
                      <a:off x="0" y="0"/>
                      <a:ext cx="4525006" cy="3115110"/>
                    </a:xfrm>
                    <a:prstGeom prst="rect">
                      <a:avLst/>
                    </a:prstGeom>
                  </pic:spPr>
                </pic:pic>
              </a:graphicData>
            </a:graphic>
          </wp:inline>
        </w:drawing>
      </w:r>
    </w:p>
    <w:p w14:paraId="6BF8923D" w14:textId="77777777" w:rsidR="003954BD" w:rsidRDefault="003954BD" w:rsidP="0069601E">
      <w:pPr>
        <w:pStyle w:val="Title"/>
        <w:jc w:val="both"/>
      </w:pPr>
    </w:p>
    <w:p w14:paraId="2F772CB4" w14:textId="77777777" w:rsidR="00B00373" w:rsidRDefault="00B00373" w:rsidP="0069601E">
      <w:pPr>
        <w:pStyle w:val="BodyText"/>
        <w:spacing w:before="5"/>
        <w:jc w:val="both"/>
        <w:rPr>
          <w:rFonts w:ascii="Arial"/>
          <w:b/>
          <w:sz w:val="34"/>
        </w:rPr>
      </w:pPr>
    </w:p>
    <w:p w14:paraId="4FDDDECA" w14:textId="77777777" w:rsidR="003954BD" w:rsidRDefault="003954BD" w:rsidP="0069601E">
      <w:pPr>
        <w:pStyle w:val="BodyText"/>
        <w:spacing w:before="5"/>
        <w:jc w:val="both"/>
        <w:rPr>
          <w:rFonts w:ascii="Arial"/>
          <w:b/>
          <w:sz w:val="34"/>
        </w:rPr>
      </w:pPr>
    </w:p>
    <w:p w14:paraId="10ECDBC9" w14:textId="77777777" w:rsidR="00D61A06" w:rsidRDefault="00D61A06" w:rsidP="0069601E">
      <w:pPr>
        <w:pStyle w:val="BodyText"/>
        <w:spacing w:before="5"/>
        <w:jc w:val="both"/>
        <w:rPr>
          <w:rFonts w:ascii="Arial"/>
          <w:b/>
          <w:sz w:val="34"/>
        </w:rPr>
      </w:pPr>
    </w:p>
    <w:p w14:paraId="64F0AF3C" w14:textId="77777777" w:rsidR="00D61A06" w:rsidRDefault="00D61A06" w:rsidP="0069601E">
      <w:pPr>
        <w:pStyle w:val="BodyText"/>
        <w:spacing w:before="5"/>
        <w:jc w:val="both"/>
        <w:rPr>
          <w:rFonts w:ascii="Arial"/>
          <w:b/>
          <w:sz w:val="34"/>
        </w:rPr>
      </w:pPr>
    </w:p>
    <w:p w14:paraId="33D73921" w14:textId="77777777" w:rsidR="00D61A06" w:rsidRDefault="00D61A06" w:rsidP="0069601E">
      <w:pPr>
        <w:pStyle w:val="BodyText"/>
        <w:spacing w:before="5"/>
        <w:jc w:val="both"/>
        <w:rPr>
          <w:rFonts w:ascii="Arial"/>
          <w:b/>
          <w:sz w:val="34"/>
        </w:rPr>
      </w:pPr>
    </w:p>
    <w:p w14:paraId="32358074" w14:textId="77777777" w:rsidR="00D61A06" w:rsidRDefault="00D61A06" w:rsidP="0069601E">
      <w:pPr>
        <w:pStyle w:val="BodyText"/>
        <w:spacing w:before="5"/>
        <w:jc w:val="both"/>
        <w:rPr>
          <w:rFonts w:ascii="Arial"/>
          <w:b/>
          <w:sz w:val="34"/>
        </w:rPr>
      </w:pPr>
    </w:p>
    <w:p w14:paraId="5A9A1E93" w14:textId="77777777" w:rsidR="00D61A06" w:rsidRDefault="00D61A06" w:rsidP="0069601E">
      <w:pPr>
        <w:pStyle w:val="BodyText"/>
        <w:spacing w:before="5"/>
        <w:jc w:val="both"/>
        <w:rPr>
          <w:rFonts w:ascii="Arial"/>
          <w:b/>
          <w:sz w:val="34"/>
        </w:rPr>
      </w:pPr>
    </w:p>
    <w:p w14:paraId="7243BC33" w14:textId="77777777" w:rsidR="00D61A06" w:rsidRDefault="00D61A06" w:rsidP="0069601E">
      <w:pPr>
        <w:pStyle w:val="BodyText"/>
        <w:spacing w:before="5"/>
        <w:jc w:val="both"/>
        <w:rPr>
          <w:rFonts w:ascii="Arial"/>
          <w:b/>
          <w:sz w:val="34"/>
        </w:rPr>
      </w:pPr>
    </w:p>
    <w:p w14:paraId="7E293131" w14:textId="77777777" w:rsidR="00D61A06" w:rsidRDefault="00D61A06" w:rsidP="0069601E">
      <w:pPr>
        <w:pStyle w:val="BodyText"/>
        <w:spacing w:before="5"/>
        <w:jc w:val="both"/>
        <w:rPr>
          <w:rFonts w:ascii="Arial"/>
          <w:b/>
          <w:sz w:val="34"/>
        </w:rPr>
      </w:pPr>
    </w:p>
    <w:p w14:paraId="7E21FC61" w14:textId="77777777" w:rsidR="00D61A06" w:rsidRDefault="00D61A06" w:rsidP="0069601E">
      <w:pPr>
        <w:pStyle w:val="BodyText"/>
        <w:spacing w:before="5"/>
        <w:jc w:val="both"/>
        <w:rPr>
          <w:rFonts w:ascii="Arial"/>
          <w:b/>
          <w:sz w:val="34"/>
        </w:rPr>
      </w:pPr>
    </w:p>
    <w:p w14:paraId="2C8E94A0" w14:textId="77777777" w:rsidR="00D61A06" w:rsidRDefault="00D61A06" w:rsidP="0069601E">
      <w:pPr>
        <w:pStyle w:val="BodyText"/>
        <w:spacing w:before="5"/>
        <w:jc w:val="both"/>
        <w:rPr>
          <w:rFonts w:ascii="Arial"/>
          <w:b/>
          <w:sz w:val="34"/>
        </w:rPr>
      </w:pPr>
    </w:p>
    <w:p w14:paraId="182EBE49" w14:textId="77777777" w:rsidR="00874EE0" w:rsidRDefault="00874EE0" w:rsidP="0069601E">
      <w:pPr>
        <w:pStyle w:val="BodyText"/>
        <w:spacing w:before="5"/>
        <w:jc w:val="both"/>
        <w:rPr>
          <w:rFonts w:ascii="Arial"/>
          <w:b/>
          <w:sz w:val="34"/>
        </w:rPr>
      </w:pPr>
    </w:p>
    <w:p w14:paraId="45021240" w14:textId="69FC895E" w:rsidR="00D61A06" w:rsidRDefault="00874EE0" w:rsidP="0069601E">
      <w:pPr>
        <w:pStyle w:val="BodyText"/>
        <w:spacing w:before="5"/>
        <w:jc w:val="both"/>
        <w:rPr>
          <w:rFonts w:ascii="Arial"/>
          <w:b/>
          <w:sz w:val="34"/>
        </w:rPr>
      </w:pPr>
      <w:r>
        <w:rPr>
          <w:rFonts w:ascii="Arial"/>
          <w:b/>
          <w:sz w:val="34"/>
        </w:rPr>
        <w:lastRenderedPageBreak/>
        <w:t>Accessibility Policy</w:t>
      </w:r>
    </w:p>
    <w:p w14:paraId="68FEC903" w14:textId="77777777" w:rsidR="00D61A06" w:rsidRDefault="00D61A06" w:rsidP="0069601E">
      <w:pPr>
        <w:pStyle w:val="BodyText"/>
        <w:spacing w:before="5"/>
        <w:jc w:val="both"/>
        <w:rPr>
          <w:rFonts w:ascii="Arial"/>
          <w:b/>
          <w:sz w:val="34"/>
        </w:rPr>
      </w:pPr>
    </w:p>
    <w:p w14:paraId="0860AB82" w14:textId="77777777" w:rsidR="00733DE3" w:rsidRPr="007D72C2" w:rsidRDefault="00733DE3" w:rsidP="0069601E">
      <w:pPr>
        <w:tabs>
          <w:tab w:val="left" w:pos="726"/>
        </w:tabs>
        <w:spacing w:line="237" w:lineRule="auto"/>
        <w:ind w:right="220"/>
        <w:jc w:val="both"/>
        <w:rPr>
          <w:b/>
          <w:bCs/>
        </w:rPr>
      </w:pPr>
      <w:r w:rsidRPr="007D72C2">
        <w:rPr>
          <w:b/>
          <w:bCs/>
        </w:rPr>
        <w:t xml:space="preserve">1. Introduction </w:t>
      </w:r>
    </w:p>
    <w:p w14:paraId="44E2D7C7" w14:textId="77777777" w:rsidR="00733DE3" w:rsidRDefault="00733DE3" w:rsidP="0069601E">
      <w:pPr>
        <w:tabs>
          <w:tab w:val="left" w:pos="726"/>
        </w:tabs>
        <w:spacing w:line="237" w:lineRule="auto"/>
        <w:ind w:right="220"/>
        <w:jc w:val="both"/>
      </w:pPr>
    </w:p>
    <w:p w14:paraId="45B40340" w14:textId="77777777" w:rsidR="00733DE3" w:rsidRDefault="00733DE3" w:rsidP="0069601E">
      <w:pPr>
        <w:tabs>
          <w:tab w:val="left" w:pos="726"/>
        </w:tabs>
        <w:spacing w:line="237" w:lineRule="auto"/>
        <w:ind w:right="220"/>
        <w:jc w:val="both"/>
      </w:pPr>
      <w:r>
        <w:t xml:space="preserve">1.1 From October 2010, the Equality Act has combined all previous acts relating to discrimination, into </w:t>
      </w:r>
      <w:proofErr w:type="gramStart"/>
      <w:r>
        <w:t>one,</w:t>
      </w:r>
      <w:proofErr w:type="gramEnd"/>
      <w:r>
        <w:t xml:space="preserve"> more encompassing area. This means that although the Disability Discrimination Act 2005 (DDA) has been superseded by the Equality Act, the Disability Equality Duty in the DDA continues to apply. The Trust, and all schools within it, are required to carry out accessibility planning for disabled students and have an Accessibility Plan in place. </w:t>
      </w:r>
    </w:p>
    <w:p w14:paraId="236B38F6" w14:textId="77777777" w:rsidR="00733DE3" w:rsidRDefault="00733DE3" w:rsidP="0069601E">
      <w:pPr>
        <w:tabs>
          <w:tab w:val="left" w:pos="726"/>
        </w:tabs>
        <w:spacing w:line="237" w:lineRule="auto"/>
        <w:ind w:right="220"/>
        <w:jc w:val="both"/>
      </w:pPr>
    </w:p>
    <w:p w14:paraId="1B4887C6" w14:textId="77777777" w:rsidR="00733DE3" w:rsidRPr="007D72C2" w:rsidRDefault="00733DE3" w:rsidP="0069601E">
      <w:pPr>
        <w:tabs>
          <w:tab w:val="left" w:pos="726"/>
        </w:tabs>
        <w:spacing w:line="237" w:lineRule="auto"/>
        <w:ind w:right="220"/>
        <w:jc w:val="both"/>
        <w:rPr>
          <w:b/>
          <w:bCs/>
        </w:rPr>
      </w:pPr>
      <w:r w:rsidRPr="007D72C2">
        <w:rPr>
          <w:b/>
          <w:bCs/>
        </w:rPr>
        <w:t xml:space="preserve">2. Definition of Disability: </w:t>
      </w:r>
    </w:p>
    <w:p w14:paraId="78E3B3A6" w14:textId="77777777" w:rsidR="00733DE3" w:rsidRDefault="00733DE3" w:rsidP="0069601E">
      <w:pPr>
        <w:tabs>
          <w:tab w:val="left" w:pos="726"/>
        </w:tabs>
        <w:spacing w:line="237" w:lineRule="auto"/>
        <w:ind w:right="220"/>
        <w:jc w:val="both"/>
      </w:pPr>
    </w:p>
    <w:p w14:paraId="2BCBE40F" w14:textId="77777777" w:rsidR="00733DE3" w:rsidRDefault="00733DE3" w:rsidP="0069601E">
      <w:pPr>
        <w:tabs>
          <w:tab w:val="left" w:pos="726"/>
        </w:tabs>
        <w:spacing w:line="237" w:lineRule="auto"/>
        <w:ind w:right="220"/>
        <w:jc w:val="both"/>
      </w:pPr>
      <w:r>
        <w:t xml:space="preserve">2.1 In order to plan for our students, it is important to understand the definition of disability. A person has the protected characteristic of disability if they have a physical and/or mental impairment, which has what the law calls “a substantial and long-term adverse effect on their ability to carry out normal day-to-day activities”. </w:t>
      </w:r>
    </w:p>
    <w:p w14:paraId="318EFA42" w14:textId="77777777" w:rsidR="00733DE3" w:rsidRDefault="00733DE3" w:rsidP="0069601E">
      <w:pPr>
        <w:tabs>
          <w:tab w:val="left" w:pos="726"/>
        </w:tabs>
        <w:spacing w:line="237" w:lineRule="auto"/>
        <w:ind w:right="220"/>
        <w:jc w:val="both"/>
      </w:pPr>
    </w:p>
    <w:p w14:paraId="4D79D751" w14:textId="77777777" w:rsidR="00733DE3" w:rsidRDefault="00733DE3" w:rsidP="0069601E">
      <w:pPr>
        <w:tabs>
          <w:tab w:val="left" w:pos="726"/>
        </w:tabs>
        <w:spacing w:line="237" w:lineRule="auto"/>
        <w:ind w:right="220"/>
        <w:jc w:val="both"/>
      </w:pPr>
      <w:r>
        <w:t xml:space="preserve">2.2 There is no need for a person to have a medically diagnosed cause for their impairment; what matters is the effect of the impairment not the cause. Examples include: arthritis, hearing or sight impairment (unless this is correctable by glasses or contact lenses), diabetes, asthma, epilepsy, conditions such as HIV infection, cancer and multiple sclerosis, as well as loss of limbs or the use of limbs, severe disfigurement (such as scarring) is covered even if it has no physical impact on the person with the disfigurement, provided the long-term requirement is met. </w:t>
      </w:r>
    </w:p>
    <w:p w14:paraId="5B120F62" w14:textId="77777777" w:rsidR="00733DE3" w:rsidRDefault="00733DE3" w:rsidP="0069601E">
      <w:pPr>
        <w:tabs>
          <w:tab w:val="left" w:pos="726"/>
        </w:tabs>
        <w:spacing w:line="237" w:lineRule="auto"/>
        <w:ind w:right="220"/>
        <w:jc w:val="both"/>
      </w:pPr>
    </w:p>
    <w:p w14:paraId="10E3762B" w14:textId="77777777" w:rsidR="00733DE3" w:rsidRDefault="00733DE3" w:rsidP="0069601E">
      <w:pPr>
        <w:tabs>
          <w:tab w:val="left" w:pos="726"/>
        </w:tabs>
        <w:spacing w:line="237" w:lineRule="auto"/>
        <w:ind w:right="220"/>
        <w:jc w:val="both"/>
      </w:pPr>
      <w:r>
        <w:t xml:space="preserve">2.3 Mental impairment includes conditions such as dyslexia and autism as well as learning disabilities such as Down’s syndrome and mental health conditions such as depression and schizophrenia are covered. </w:t>
      </w:r>
    </w:p>
    <w:p w14:paraId="023E9302" w14:textId="77777777" w:rsidR="00733DE3" w:rsidRDefault="00733DE3" w:rsidP="0069601E">
      <w:pPr>
        <w:tabs>
          <w:tab w:val="left" w:pos="726"/>
        </w:tabs>
        <w:spacing w:line="237" w:lineRule="auto"/>
        <w:ind w:right="220"/>
        <w:jc w:val="both"/>
      </w:pPr>
    </w:p>
    <w:p w14:paraId="01619CF3" w14:textId="77777777" w:rsidR="00733DE3" w:rsidRDefault="00733DE3" w:rsidP="0069601E">
      <w:pPr>
        <w:tabs>
          <w:tab w:val="left" w:pos="726"/>
        </w:tabs>
        <w:spacing w:line="237" w:lineRule="auto"/>
        <w:ind w:right="220"/>
        <w:jc w:val="both"/>
      </w:pPr>
      <w:r>
        <w:t xml:space="preserve">2.4 According to the Equality Act 2010 the test to apply to decide if someone has the protected characteristic of disability </w:t>
      </w:r>
      <w:proofErr w:type="gramStart"/>
      <w:r>
        <w:t>are: •</w:t>
      </w:r>
      <w:proofErr w:type="gramEnd"/>
      <w:r>
        <w:t xml:space="preserve"> the length of time the effect of the condition has lasted or will continue: it must be long term. • the effect of the impairment is to make it more difficult and/or time – consuming for a person to carry out an activity compared to someone who does not have the impairment, and this causes more than minor or trivial inconvenience. </w:t>
      </w:r>
    </w:p>
    <w:p w14:paraId="526EE825" w14:textId="77777777" w:rsidR="00733DE3" w:rsidRDefault="00733DE3" w:rsidP="0069601E">
      <w:pPr>
        <w:tabs>
          <w:tab w:val="left" w:pos="726"/>
        </w:tabs>
        <w:spacing w:line="237" w:lineRule="auto"/>
        <w:ind w:right="220"/>
        <w:jc w:val="both"/>
      </w:pPr>
    </w:p>
    <w:p w14:paraId="5F0ABA53" w14:textId="77777777" w:rsidR="00733DE3" w:rsidRPr="007D72C2" w:rsidRDefault="00733DE3" w:rsidP="0069601E">
      <w:pPr>
        <w:tabs>
          <w:tab w:val="left" w:pos="726"/>
        </w:tabs>
        <w:spacing w:line="237" w:lineRule="auto"/>
        <w:ind w:right="220"/>
        <w:jc w:val="both"/>
        <w:rPr>
          <w:b/>
          <w:bCs/>
        </w:rPr>
      </w:pPr>
      <w:r w:rsidRPr="007D72C2">
        <w:rPr>
          <w:b/>
          <w:bCs/>
        </w:rPr>
        <w:t xml:space="preserve">3. Trust Statement </w:t>
      </w:r>
    </w:p>
    <w:p w14:paraId="06D39B7B" w14:textId="77777777" w:rsidR="00733DE3" w:rsidRDefault="00733DE3" w:rsidP="0069601E">
      <w:pPr>
        <w:tabs>
          <w:tab w:val="left" w:pos="726"/>
        </w:tabs>
        <w:spacing w:line="237" w:lineRule="auto"/>
        <w:ind w:right="220"/>
        <w:jc w:val="both"/>
      </w:pPr>
    </w:p>
    <w:p w14:paraId="78B65D04" w14:textId="77777777" w:rsidR="007D72C2" w:rsidRDefault="00733DE3" w:rsidP="0069601E">
      <w:pPr>
        <w:tabs>
          <w:tab w:val="left" w:pos="726"/>
        </w:tabs>
        <w:spacing w:line="237" w:lineRule="auto"/>
        <w:ind w:right="220"/>
        <w:jc w:val="both"/>
      </w:pPr>
      <w:r>
        <w:t xml:space="preserve">3.1 Education </w:t>
      </w:r>
      <w:proofErr w:type="gramStart"/>
      <w:r>
        <w:t>South West</w:t>
      </w:r>
      <w:proofErr w:type="gramEnd"/>
      <w:r>
        <w:t xml:space="preserve"> </w:t>
      </w:r>
      <w:proofErr w:type="spellStart"/>
      <w:r>
        <w:t>recognises</w:t>
      </w:r>
      <w:proofErr w:type="spellEnd"/>
      <w:r>
        <w:t xml:space="preserve"> the need to take all reasonable and necessary steps for the admission and education of disabled students by using a variety of approaches and planning reasonable adjustments. We aim to enable students with disabilities to take as full a part as ESW Accessibility Policy Page 5 of 9 Version 1.0 January 2024 possible in all the activities of the Trust. This should take </w:t>
      </w:r>
      <w:proofErr w:type="gramStart"/>
      <w:r>
        <w:t>in to</w:t>
      </w:r>
      <w:proofErr w:type="gramEnd"/>
      <w:r>
        <w:t xml:space="preserve"> account their individual strengths and needs and should allow each child to fulfil their potential. </w:t>
      </w:r>
    </w:p>
    <w:p w14:paraId="3F8DC566" w14:textId="77777777" w:rsidR="007D72C2" w:rsidRDefault="007D72C2" w:rsidP="0069601E">
      <w:pPr>
        <w:tabs>
          <w:tab w:val="left" w:pos="726"/>
        </w:tabs>
        <w:spacing w:line="237" w:lineRule="auto"/>
        <w:ind w:right="220"/>
        <w:jc w:val="both"/>
      </w:pPr>
    </w:p>
    <w:p w14:paraId="2BE3D8FF" w14:textId="77777777" w:rsidR="007D72C2" w:rsidRPr="007D72C2" w:rsidRDefault="00733DE3" w:rsidP="0069601E">
      <w:pPr>
        <w:tabs>
          <w:tab w:val="left" w:pos="726"/>
        </w:tabs>
        <w:spacing w:line="237" w:lineRule="auto"/>
        <w:ind w:right="220"/>
        <w:jc w:val="both"/>
        <w:rPr>
          <w:b/>
          <w:bCs/>
        </w:rPr>
      </w:pPr>
      <w:r w:rsidRPr="007D72C2">
        <w:rPr>
          <w:b/>
          <w:bCs/>
        </w:rPr>
        <w:t xml:space="preserve">4. Access to education and associated services: </w:t>
      </w:r>
    </w:p>
    <w:p w14:paraId="62DBFF59" w14:textId="77777777" w:rsidR="007D72C2" w:rsidRDefault="007D72C2" w:rsidP="0069601E">
      <w:pPr>
        <w:tabs>
          <w:tab w:val="left" w:pos="726"/>
        </w:tabs>
        <w:spacing w:line="237" w:lineRule="auto"/>
        <w:ind w:right="220"/>
        <w:jc w:val="both"/>
      </w:pPr>
    </w:p>
    <w:p w14:paraId="23DA17F5" w14:textId="77777777" w:rsidR="007D72C2" w:rsidRDefault="00733DE3" w:rsidP="0069601E">
      <w:pPr>
        <w:tabs>
          <w:tab w:val="left" w:pos="726"/>
        </w:tabs>
        <w:spacing w:line="237" w:lineRule="auto"/>
        <w:ind w:right="220"/>
        <w:jc w:val="both"/>
      </w:pPr>
      <w:r>
        <w:t xml:space="preserve">4.1 This term covers the whole life of the Trust. It covers not just curriculum and teaching and learning but school clubs and activities, break and lunchtimes, Trust sports, Trust policies, interaction with peers, assessment and exam arrangements and preparation of leavers for their next stage of education. </w:t>
      </w:r>
    </w:p>
    <w:p w14:paraId="26BA9231" w14:textId="77777777" w:rsidR="007D72C2" w:rsidRDefault="007D72C2" w:rsidP="0069601E">
      <w:pPr>
        <w:tabs>
          <w:tab w:val="left" w:pos="726"/>
        </w:tabs>
        <w:spacing w:line="237" w:lineRule="auto"/>
        <w:ind w:right="220"/>
        <w:jc w:val="both"/>
      </w:pPr>
    </w:p>
    <w:p w14:paraId="7FDABB5E" w14:textId="77777777" w:rsidR="007D72C2" w:rsidRPr="007D72C2" w:rsidRDefault="00733DE3" w:rsidP="0069601E">
      <w:pPr>
        <w:tabs>
          <w:tab w:val="left" w:pos="726"/>
        </w:tabs>
        <w:spacing w:line="237" w:lineRule="auto"/>
        <w:ind w:right="220"/>
        <w:jc w:val="both"/>
        <w:rPr>
          <w:b/>
          <w:bCs/>
        </w:rPr>
      </w:pPr>
      <w:r w:rsidRPr="007D72C2">
        <w:rPr>
          <w:b/>
          <w:bCs/>
        </w:rPr>
        <w:t xml:space="preserve">5. Aims </w:t>
      </w:r>
    </w:p>
    <w:p w14:paraId="5C63067B" w14:textId="77777777" w:rsidR="007D72C2" w:rsidRDefault="007D72C2" w:rsidP="0069601E">
      <w:pPr>
        <w:tabs>
          <w:tab w:val="left" w:pos="726"/>
        </w:tabs>
        <w:spacing w:line="237" w:lineRule="auto"/>
        <w:ind w:right="220"/>
        <w:jc w:val="both"/>
      </w:pPr>
    </w:p>
    <w:p w14:paraId="6AFCC15F" w14:textId="77777777" w:rsidR="00E07666" w:rsidRDefault="00733DE3" w:rsidP="0069601E">
      <w:pPr>
        <w:tabs>
          <w:tab w:val="left" w:pos="726"/>
        </w:tabs>
        <w:spacing w:line="237" w:lineRule="auto"/>
        <w:ind w:right="220"/>
        <w:jc w:val="both"/>
      </w:pPr>
      <w:r>
        <w:t xml:space="preserve">5.1 The ESW Accessibility Policy, and associated school specific accessibility plans, will contain relevant and timely actions to ensure that the Trust: </w:t>
      </w:r>
    </w:p>
    <w:p w14:paraId="79986495" w14:textId="5E8EDCAB" w:rsidR="00E07666" w:rsidRDefault="00E07666" w:rsidP="0069601E">
      <w:pPr>
        <w:tabs>
          <w:tab w:val="left" w:pos="726"/>
        </w:tabs>
        <w:spacing w:line="237" w:lineRule="auto"/>
        <w:ind w:left="720" w:right="220"/>
        <w:jc w:val="both"/>
      </w:pPr>
      <w:r>
        <w:tab/>
      </w:r>
      <w:r w:rsidR="00733DE3">
        <w:t xml:space="preserve">1. Increases the extent to which disabled students can participate in the curriculum; </w:t>
      </w:r>
      <w:r>
        <w:lastRenderedPageBreak/>
        <w:t xml:space="preserve">2. </w:t>
      </w:r>
      <w:r w:rsidR="00733DE3">
        <w:t xml:space="preserve">Improves the physical environment of Trust schools to enable disabled students to take better advantage of education, benefits, facilities and services </w:t>
      </w:r>
      <w:proofErr w:type="gramStart"/>
      <w:r w:rsidR="00733DE3">
        <w:t>provided;</w:t>
      </w:r>
      <w:proofErr w:type="gramEnd"/>
      <w:r w:rsidR="00733DE3">
        <w:t xml:space="preserve"> </w:t>
      </w:r>
    </w:p>
    <w:p w14:paraId="0DAC0702" w14:textId="77777777" w:rsidR="00E07666" w:rsidRDefault="00E07666" w:rsidP="0069601E">
      <w:pPr>
        <w:tabs>
          <w:tab w:val="left" w:pos="726"/>
        </w:tabs>
        <w:spacing w:line="237" w:lineRule="auto"/>
        <w:ind w:right="220"/>
        <w:jc w:val="both"/>
      </w:pPr>
      <w:r>
        <w:tab/>
      </w:r>
      <w:r w:rsidR="00733DE3">
        <w:t xml:space="preserve">3. Improves access to information for disabled students (and other members of our community. </w:t>
      </w:r>
    </w:p>
    <w:p w14:paraId="569392D3" w14:textId="77777777" w:rsidR="00E07666" w:rsidRDefault="00E07666" w:rsidP="0069601E">
      <w:pPr>
        <w:tabs>
          <w:tab w:val="left" w:pos="726"/>
        </w:tabs>
        <w:spacing w:line="237" w:lineRule="auto"/>
        <w:ind w:right="220"/>
        <w:jc w:val="both"/>
      </w:pPr>
    </w:p>
    <w:p w14:paraId="6F9C437C" w14:textId="77777777" w:rsidR="00E07666" w:rsidRPr="00E07666" w:rsidRDefault="00733DE3" w:rsidP="0069601E">
      <w:pPr>
        <w:tabs>
          <w:tab w:val="left" w:pos="726"/>
        </w:tabs>
        <w:spacing w:line="237" w:lineRule="auto"/>
        <w:ind w:right="220"/>
        <w:jc w:val="both"/>
        <w:rPr>
          <w:b/>
          <w:bCs/>
        </w:rPr>
      </w:pPr>
      <w:r w:rsidRPr="00E07666">
        <w:rPr>
          <w:b/>
          <w:bCs/>
        </w:rPr>
        <w:t xml:space="preserve">6. Practice </w:t>
      </w:r>
    </w:p>
    <w:p w14:paraId="2037379F" w14:textId="77777777" w:rsidR="00E07666" w:rsidRDefault="00E07666" w:rsidP="0069601E">
      <w:pPr>
        <w:tabs>
          <w:tab w:val="left" w:pos="726"/>
        </w:tabs>
        <w:spacing w:line="237" w:lineRule="auto"/>
        <w:ind w:right="220"/>
        <w:jc w:val="both"/>
      </w:pPr>
    </w:p>
    <w:p w14:paraId="7F06258A" w14:textId="77777777" w:rsidR="00E07666" w:rsidRDefault="00733DE3" w:rsidP="0069601E">
      <w:pPr>
        <w:tabs>
          <w:tab w:val="left" w:pos="726"/>
        </w:tabs>
        <w:spacing w:line="237" w:lineRule="auto"/>
        <w:ind w:right="220"/>
        <w:jc w:val="both"/>
      </w:pPr>
      <w:r>
        <w:t xml:space="preserve">6.1 We will make reasonable adjustments to ensure the Trust environment and its activities are as accessible and welcoming as possible for students, staff and visitors to the Trust. The schoolby-school specific accessibility plans will be reviewed annually and show how we will increase access to education and associated services for students with disabilities to meet the three aims as stated above. </w:t>
      </w:r>
    </w:p>
    <w:p w14:paraId="6FE1D33E" w14:textId="77777777" w:rsidR="00E07666" w:rsidRDefault="00E07666" w:rsidP="0069601E">
      <w:pPr>
        <w:tabs>
          <w:tab w:val="left" w:pos="726"/>
        </w:tabs>
        <w:spacing w:line="237" w:lineRule="auto"/>
        <w:ind w:right="220"/>
        <w:jc w:val="both"/>
      </w:pPr>
    </w:p>
    <w:p w14:paraId="5581ECA2" w14:textId="77777777" w:rsidR="00E07666" w:rsidRDefault="00733DE3" w:rsidP="0069601E">
      <w:pPr>
        <w:tabs>
          <w:tab w:val="left" w:pos="726"/>
        </w:tabs>
        <w:spacing w:line="237" w:lineRule="auto"/>
        <w:ind w:right="220"/>
        <w:jc w:val="both"/>
      </w:pPr>
      <w:r>
        <w:t xml:space="preserve">6.2 More specifically, the Trust will </w:t>
      </w:r>
      <w:proofErr w:type="spellStart"/>
      <w:r>
        <w:t>endeavour</w:t>
      </w:r>
      <w:proofErr w:type="spellEnd"/>
      <w:r>
        <w:t xml:space="preserve"> to ensure that: -</w:t>
      </w:r>
    </w:p>
    <w:p w14:paraId="40E10203" w14:textId="77777777" w:rsidR="00E07666" w:rsidRDefault="00E07666" w:rsidP="0069601E">
      <w:pPr>
        <w:tabs>
          <w:tab w:val="left" w:pos="726"/>
        </w:tabs>
        <w:spacing w:line="237" w:lineRule="auto"/>
        <w:ind w:right="220"/>
        <w:jc w:val="both"/>
      </w:pPr>
      <w:r>
        <w:tab/>
      </w:r>
      <w:r w:rsidR="00733DE3">
        <w:t xml:space="preserve"> • Leaders continually review the curriculum to ensure that disabled students are not disadvantaged in any way and that all subjects and activities are available to them. </w:t>
      </w:r>
    </w:p>
    <w:p w14:paraId="15043BEA" w14:textId="77777777" w:rsidR="00E07666" w:rsidRDefault="00E07666" w:rsidP="0069601E">
      <w:pPr>
        <w:tabs>
          <w:tab w:val="left" w:pos="726"/>
        </w:tabs>
        <w:spacing w:line="237" w:lineRule="auto"/>
        <w:ind w:right="220"/>
        <w:jc w:val="both"/>
      </w:pPr>
      <w:r>
        <w:tab/>
      </w:r>
      <w:r w:rsidR="00733DE3">
        <w:t xml:space="preserve">• Leaders do everything possible within budgeted resources to improve the physical environment by making reasonable adjustments, when and where necessary, </w:t>
      </w:r>
      <w:proofErr w:type="gramStart"/>
      <w:r w:rsidR="00733DE3">
        <w:t>in order to</w:t>
      </w:r>
      <w:proofErr w:type="gramEnd"/>
      <w:r w:rsidR="00733DE3">
        <w:t xml:space="preserve"> allow the movement of disabled students around Trust schools. </w:t>
      </w:r>
    </w:p>
    <w:p w14:paraId="4961D90B" w14:textId="77777777" w:rsidR="00E07666" w:rsidRDefault="00E07666" w:rsidP="0069601E">
      <w:pPr>
        <w:tabs>
          <w:tab w:val="left" w:pos="726"/>
        </w:tabs>
        <w:spacing w:line="237" w:lineRule="auto"/>
        <w:ind w:right="220"/>
        <w:jc w:val="both"/>
      </w:pPr>
      <w:r>
        <w:tab/>
      </w:r>
      <w:r w:rsidR="00733DE3">
        <w:t xml:space="preserve">• Leaders review the admissions policy so that reasonable adjustments may be made for disabled students seeking admission to Trust schools. </w:t>
      </w:r>
    </w:p>
    <w:p w14:paraId="3E5D74E8" w14:textId="77777777" w:rsidR="00E07666" w:rsidRDefault="00E07666" w:rsidP="0069601E">
      <w:pPr>
        <w:tabs>
          <w:tab w:val="left" w:pos="726"/>
        </w:tabs>
        <w:spacing w:line="237" w:lineRule="auto"/>
        <w:ind w:right="220"/>
        <w:jc w:val="both"/>
      </w:pPr>
      <w:r>
        <w:tab/>
      </w:r>
      <w:r w:rsidR="00733DE3">
        <w:t xml:space="preserve">• Leaders ensure that training for both teaching and non-teaching staff is implemented and evaluated so that they are aware of, and able to meet, the needs of disabled students. </w:t>
      </w:r>
    </w:p>
    <w:p w14:paraId="2F772CDD" w14:textId="6B4D5751" w:rsidR="00B00373" w:rsidRDefault="00E07666" w:rsidP="0069601E">
      <w:pPr>
        <w:tabs>
          <w:tab w:val="left" w:pos="726"/>
        </w:tabs>
        <w:spacing w:line="237" w:lineRule="auto"/>
        <w:ind w:right="220"/>
        <w:jc w:val="both"/>
      </w:pPr>
      <w:r>
        <w:tab/>
      </w:r>
      <w:r w:rsidR="00733DE3">
        <w:t>• Leaders monitor and evaluate a range of student data to ensure that the needs of disabled students are met and, in many cases, exceeded through implementing additional support and intervention strategies to reduce or remove any barriers to</w:t>
      </w:r>
      <w:r w:rsidR="00773EE1">
        <w:t xml:space="preserve"> learning.</w:t>
      </w:r>
    </w:p>
    <w:p w14:paraId="70A675A5" w14:textId="77777777" w:rsidR="00773EE1" w:rsidRDefault="00773EE1" w:rsidP="0069601E">
      <w:pPr>
        <w:tabs>
          <w:tab w:val="left" w:pos="726"/>
        </w:tabs>
        <w:spacing w:line="237" w:lineRule="auto"/>
        <w:ind w:right="220"/>
        <w:jc w:val="both"/>
      </w:pPr>
    </w:p>
    <w:p w14:paraId="1017135A" w14:textId="77777777" w:rsidR="00773EE1" w:rsidRPr="00773EE1" w:rsidRDefault="00773EE1" w:rsidP="0069601E">
      <w:pPr>
        <w:tabs>
          <w:tab w:val="left" w:pos="726"/>
        </w:tabs>
        <w:spacing w:line="237" w:lineRule="auto"/>
        <w:ind w:right="220"/>
        <w:jc w:val="both"/>
        <w:rPr>
          <w:b/>
          <w:bCs/>
        </w:rPr>
      </w:pPr>
      <w:r w:rsidRPr="00773EE1">
        <w:rPr>
          <w:b/>
          <w:bCs/>
        </w:rPr>
        <w:t xml:space="preserve">7. Action Plan </w:t>
      </w:r>
    </w:p>
    <w:p w14:paraId="3131A9C2" w14:textId="77777777" w:rsidR="00773EE1" w:rsidRDefault="00773EE1" w:rsidP="0069601E">
      <w:pPr>
        <w:tabs>
          <w:tab w:val="left" w:pos="726"/>
        </w:tabs>
        <w:spacing w:line="237" w:lineRule="auto"/>
        <w:ind w:right="220"/>
        <w:jc w:val="both"/>
      </w:pPr>
    </w:p>
    <w:p w14:paraId="111339A3" w14:textId="77777777" w:rsidR="00773EE1" w:rsidRDefault="00773EE1" w:rsidP="0069601E">
      <w:pPr>
        <w:tabs>
          <w:tab w:val="left" w:pos="726"/>
        </w:tabs>
        <w:spacing w:line="237" w:lineRule="auto"/>
        <w:ind w:right="220"/>
        <w:jc w:val="both"/>
      </w:pPr>
      <w:r>
        <w:t xml:space="preserve">7.1 Each school within the Trust is to have an ongoing three-year Accessibility Action Plan which outlines accessibility targets, strategies on how to achieve those targets, outcomes of those strategies, timeframe and costs. Each school will be responsible for reviewing and updating their Accessibility Action Plan and ensuring it is accessible on the school’s website. </w:t>
      </w:r>
    </w:p>
    <w:p w14:paraId="1DAA1548" w14:textId="77777777" w:rsidR="00773EE1" w:rsidRDefault="00773EE1" w:rsidP="0069601E">
      <w:pPr>
        <w:tabs>
          <w:tab w:val="left" w:pos="726"/>
        </w:tabs>
        <w:spacing w:line="237" w:lineRule="auto"/>
        <w:ind w:right="220"/>
        <w:jc w:val="both"/>
      </w:pPr>
    </w:p>
    <w:p w14:paraId="783B2805" w14:textId="77777777" w:rsidR="00773EE1" w:rsidRPr="00773EE1" w:rsidRDefault="00773EE1" w:rsidP="0069601E">
      <w:pPr>
        <w:tabs>
          <w:tab w:val="left" w:pos="726"/>
        </w:tabs>
        <w:spacing w:line="237" w:lineRule="auto"/>
        <w:ind w:right="220"/>
        <w:jc w:val="both"/>
        <w:rPr>
          <w:b/>
          <w:bCs/>
        </w:rPr>
      </w:pPr>
      <w:r w:rsidRPr="00773EE1">
        <w:rPr>
          <w:b/>
          <w:bCs/>
        </w:rPr>
        <w:t xml:space="preserve">8. Related Policies </w:t>
      </w:r>
    </w:p>
    <w:p w14:paraId="607BE81E" w14:textId="77777777" w:rsidR="00773EE1" w:rsidRDefault="00773EE1" w:rsidP="0069601E">
      <w:pPr>
        <w:tabs>
          <w:tab w:val="left" w:pos="726"/>
        </w:tabs>
        <w:spacing w:line="237" w:lineRule="auto"/>
        <w:ind w:right="220"/>
        <w:jc w:val="both"/>
      </w:pPr>
    </w:p>
    <w:p w14:paraId="5BEE2C97" w14:textId="77777777" w:rsidR="00773EE1" w:rsidRDefault="00773EE1" w:rsidP="0069601E">
      <w:pPr>
        <w:tabs>
          <w:tab w:val="left" w:pos="726"/>
        </w:tabs>
        <w:spacing w:line="237" w:lineRule="auto"/>
        <w:ind w:right="220"/>
        <w:jc w:val="both"/>
      </w:pPr>
      <w:r>
        <w:t xml:space="preserve">8.1 Related policies include: </w:t>
      </w:r>
    </w:p>
    <w:p w14:paraId="179A0EB0" w14:textId="77777777" w:rsidR="00773EE1" w:rsidRDefault="00773EE1" w:rsidP="0069601E">
      <w:pPr>
        <w:tabs>
          <w:tab w:val="left" w:pos="726"/>
        </w:tabs>
        <w:spacing w:line="237" w:lineRule="auto"/>
        <w:ind w:right="220"/>
        <w:jc w:val="both"/>
      </w:pPr>
    </w:p>
    <w:p w14:paraId="7D80CD45" w14:textId="77777777" w:rsidR="00773EE1" w:rsidRDefault="00773EE1" w:rsidP="0069601E">
      <w:pPr>
        <w:tabs>
          <w:tab w:val="left" w:pos="726"/>
        </w:tabs>
        <w:spacing w:line="237" w:lineRule="auto"/>
        <w:ind w:right="220"/>
        <w:jc w:val="both"/>
      </w:pPr>
      <w:r>
        <w:tab/>
        <w:t xml:space="preserve">• Curriculum Policy </w:t>
      </w:r>
    </w:p>
    <w:p w14:paraId="744029BB" w14:textId="77777777" w:rsidR="00773EE1" w:rsidRDefault="00773EE1" w:rsidP="0069601E">
      <w:pPr>
        <w:tabs>
          <w:tab w:val="left" w:pos="726"/>
        </w:tabs>
        <w:spacing w:line="237" w:lineRule="auto"/>
        <w:ind w:right="220"/>
        <w:jc w:val="both"/>
      </w:pPr>
      <w:r>
        <w:tab/>
        <w:t xml:space="preserve">• Intimate Care Policy </w:t>
      </w:r>
    </w:p>
    <w:p w14:paraId="60463608" w14:textId="77777777" w:rsidR="00773EE1" w:rsidRDefault="00773EE1" w:rsidP="0069601E">
      <w:pPr>
        <w:tabs>
          <w:tab w:val="left" w:pos="726"/>
        </w:tabs>
        <w:spacing w:line="237" w:lineRule="auto"/>
        <w:ind w:right="220"/>
        <w:jc w:val="both"/>
      </w:pPr>
      <w:r>
        <w:tab/>
        <w:t xml:space="preserve">• Medical Policy </w:t>
      </w:r>
    </w:p>
    <w:p w14:paraId="75B2F5E1" w14:textId="77777777" w:rsidR="00773EE1" w:rsidRDefault="00773EE1" w:rsidP="0069601E">
      <w:pPr>
        <w:tabs>
          <w:tab w:val="left" w:pos="726"/>
        </w:tabs>
        <w:spacing w:line="237" w:lineRule="auto"/>
        <w:ind w:right="220"/>
        <w:jc w:val="both"/>
      </w:pPr>
      <w:r>
        <w:tab/>
        <w:t xml:space="preserve">• Single Equality Policy </w:t>
      </w:r>
    </w:p>
    <w:p w14:paraId="49D31169" w14:textId="77777777" w:rsidR="00773EE1" w:rsidRDefault="00773EE1" w:rsidP="0069601E">
      <w:pPr>
        <w:tabs>
          <w:tab w:val="left" w:pos="726"/>
        </w:tabs>
        <w:spacing w:line="237" w:lineRule="auto"/>
        <w:ind w:right="220"/>
        <w:jc w:val="both"/>
      </w:pPr>
      <w:r>
        <w:tab/>
        <w:t xml:space="preserve">• Special Educational Needs and Disability (SEND) Policy </w:t>
      </w:r>
    </w:p>
    <w:p w14:paraId="42DA6768" w14:textId="77777777" w:rsidR="00773EE1" w:rsidRDefault="00773EE1" w:rsidP="0069601E">
      <w:pPr>
        <w:tabs>
          <w:tab w:val="left" w:pos="726"/>
        </w:tabs>
        <w:spacing w:line="237" w:lineRule="auto"/>
        <w:ind w:right="220"/>
        <w:jc w:val="both"/>
      </w:pPr>
      <w:r>
        <w:tab/>
        <w:t xml:space="preserve">• </w:t>
      </w:r>
      <w:proofErr w:type="spellStart"/>
      <w:r>
        <w:t>Behaviour</w:t>
      </w:r>
      <w:proofErr w:type="spellEnd"/>
      <w:r>
        <w:t xml:space="preserve"> Policy </w:t>
      </w:r>
    </w:p>
    <w:p w14:paraId="5D700B08" w14:textId="77777777" w:rsidR="00773EE1" w:rsidRDefault="00773EE1" w:rsidP="0069601E">
      <w:pPr>
        <w:tabs>
          <w:tab w:val="left" w:pos="726"/>
        </w:tabs>
        <w:spacing w:line="237" w:lineRule="auto"/>
        <w:ind w:right="220"/>
        <w:jc w:val="both"/>
      </w:pPr>
      <w:r>
        <w:tab/>
        <w:t xml:space="preserve">• School Improvement Plan </w:t>
      </w:r>
    </w:p>
    <w:p w14:paraId="7BA5295C" w14:textId="77777777" w:rsidR="00773EE1" w:rsidRDefault="00773EE1" w:rsidP="0069601E">
      <w:pPr>
        <w:tabs>
          <w:tab w:val="left" w:pos="726"/>
        </w:tabs>
        <w:spacing w:line="237" w:lineRule="auto"/>
        <w:ind w:right="220"/>
        <w:jc w:val="both"/>
      </w:pPr>
      <w:r>
        <w:tab/>
        <w:t xml:space="preserve">• Health and Safety Policy </w:t>
      </w:r>
    </w:p>
    <w:p w14:paraId="087FC3B0" w14:textId="77777777" w:rsidR="00773EE1" w:rsidRDefault="00773EE1" w:rsidP="0069601E">
      <w:pPr>
        <w:tabs>
          <w:tab w:val="left" w:pos="726"/>
        </w:tabs>
        <w:spacing w:line="237" w:lineRule="auto"/>
        <w:ind w:right="220"/>
        <w:jc w:val="both"/>
      </w:pPr>
    </w:p>
    <w:p w14:paraId="3F87ABC7" w14:textId="77777777" w:rsidR="00773EE1" w:rsidRPr="00773EE1" w:rsidRDefault="00773EE1" w:rsidP="0069601E">
      <w:pPr>
        <w:tabs>
          <w:tab w:val="left" w:pos="726"/>
        </w:tabs>
        <w:spacing w:line="237" w:lineRule="auto"/>
        <w:ind w:right="220"/>
        <w:jc w:val="both"/>
        <w:rPr>
          <w:b/>
          <w:bCs/>
        </w:rPr>
      </w:pPr>
      <w:r w:rsidRPr="00773EE1">
        <w:rPr>
          <w:b/>
          <w:bCs/>
        </w:rPr>
        <w:t xml:space="preserve">9. Review of Policy </w:t>
      </w:r>
    </w:p>
    <w:p w14:paraId="6E744DCE" w14:textId="77777777" w:rsidR="00773EE1" w:rsidRDefault="00773EE1" w:rsidP="0069601E">
      <w:pPr>
        <w:tabs>
          <w:tab w:val="left" w:pos="726"/>
        </w:tabs>
        <w:spacing w:line="237" w:lineRule="auto"/>
        <w:ind w:right="220"/>
        <w:jc w:val="both"/>
      </w:pPr>
    </w:p>
    <w:p w14:paraId="33956AD7" w14:textId="52D5C85C" w:rsidR="00773EE1" w:rsidRDefault="00773EE1" w:rsidP="0069601E">
      <w:pPr>
        <w:tabs>
          <w:tab w:val="left" w:pos="726"/>
        </w:tabs>
        <w:spacing w:line="237" w:lineRule="auto"/>
        <w:ind w:right="220"/>
        <w:jc w:val="both"/>
      </w:pPr>
      <w:r>
        <w:t xml:space="preserve">9.1 This policy is reviewed by the Board of Education </w:t>
      </w:r>
      <w:proofErr w:type="gramStart"/>
      <w:r>
        <w:t>South West</w:t>
      </w:r>
      <w:proofErr w:type="gramEnd"/>
      <w:r>
        <w:t xml:space="preserve"> every three years or as required by changes in legislation.</w:t>
      </w:r>
    </w:p>
    <w:p w14:paraId="060B2BC4" w14:textId="77777777" w:rsidR="00773EE1" w:rsidRDefault="00773EE1" w:rsidP="0069601E">
      <w:pPr>
        <w:tabs>
          <w:tab w:val="left" w:pos="726"/>
        </w:tabs>
        <w:spacing w:line="237" w:lineRule="auto"/>
        <w:ind w:right="220"/>
        <w:jc w:val="both"/>
      </w:pPr>
    </w:p>
    <w:p w14:paraId="4ACD2FD0" w14:textId="77777777" w:rsidR="00773EE1" w:rsidRDefault="00773EE1" w:rsidP="0069601E">
      <w:pPr>
        <w:tabs>
          <w:tab w:val="left" w:pos="726"/>
        </w:tabs>
        <w:spacing w:line="237" w:lineRule="auto"/>
        <w:ind w:right="220"/>
        <w:jc w:val="both"/>
      </w:pPr>
    </w:p>
    <w:p w14:paraId="3680F06F" w14:textId="77777777" w:rsidR="0069601E" w:rsidRDefault="0069601E" w:rsidP="0069601E">
      <w:pPr>
        <w:tabs>
          <w:tab w:val="left" w:pos="726"/>
        </w:tabs>
        <w:spacing w:line="237" w:lineRule="auto"/>
        <w:ind w:right="220"/>
        <w:jc w:val="both"/>
      </w:pPr>
    </w:p>
    <w:p w14:paraId="62F96948" w14:textId="77777777" w:rsidR="0069601E" w:rsidRDefault="0069601E" w:rsidP="0069601E">
      <w:pPr>
        <w:tabs>
          <w:tab w:val="left" w:pos="726"/>
        </w:tabs>
        <w:spacing w:line="237" w:lineRule="auto"/>
        <w:ind w:right="220"/>
        <w:jc w:val="both"/>
      </w:pPr>
    </w:p>
    <w:p w14:paraId="4C3766FC" w14:textId="77777777" w:rsidR="00773EE1" w:rsidRDefault="00773EE1" w:rsidP="0069601E">
      <w:pPr>
        <w:tabs>
          <w:tab w:val="left" w:pos="726"/>
        </w:tabs>
        <w:spacing w:line="237" w:lineRule="auto"/>
        <w:ind w:right="220"/>
        <w:jc w:val="both"/>
      </w:pPr>
    </w:p>
    <w:p w14:paraId="333CC743" w14:textId="77777777" w:rsidR="00773EE1" w:rsidRDefault="00773EE1" w:rsidP="0069601E">
      <w:pPr>
        <w:tabs>
          <w:tab w:val="left" w:pos="726"/>
        </w:tabs>
        <w:spacing w:line="237" w:lineRule="auto"/>
        <w:ind w:right="220"/>
        <w:jc w:val="both"/>
      </w:pPr>
    </w:p>
    <w:p w14:paraId="67D15274" w14:textId="77777777" w:rsidR="00B745A2" w:rsidRDefault="00B745A2" w:rsidP="0069601E">
      <w:pPr>
        <w:tabs>
          <w:tab w:val="left" w:pos="726"/>
        </w:tabs>
        <w:spacing w:line="237" w:lineRule="auto"/>
        <w:ind w:right="220"/>
        <w:jc w:val="both"/>
      </w:pPr>
    </w:p>
    <w:p w14:paraId="4E478898" w14:textId="77777777" w:rsidR="0069601E" w:rsidRDefault="00B745A2" w:rsidP="0069601E">
      <w:pPr>
        <w:tabs>
          <w:tab w:val="left" w:pos="726"/>
        </w:tabs>
        <w:spacing w:line="237" w:lineRule="auto"/>
        <w:ind w:right="220"/>
        <w:jc w:val="both"/>
        <w:rPr>
          <w:b/>
          <w:bCs/>
          <w:sz w:val="32"/>
          <w:szCs w:val="32"/>
        </w:rPr>
      </w:pPr>
      <w:r w:rsidRPr="0069601E">
        <w:rPr>
          <w:b/>
          <w:bCs/>
          <w:sz w:val="32"/>
          <w:szCs w:val="32"/>
        </w:rPr>
        <w:lastRenderedPageBreak/>
        <w:t>South Devon UTC</w:t>
      </w:r>
      <w:r w:rsidR="0069601E" w:rsidRPr="0069601E">
        <w:rPr>
          <w:b/>
          <w:bCs/>
          <w:sz w:val="32"/>
          <w:szCs w:val="32"/>
        </w:rPr>
        <w:t xml:space="preserve"> Accessibility Plan 2025 – 2026 </w:t>
      </w:r>
    </w:p>
    <w:p w14:paraId="7CC369C6" w14:textId="77777777" w:rsidR="0069601E" w:rsidRDefault="0069601E" w:rsidP="0069601E">
      <w:pPr>
        <w:tabs>
          <w:tab w:val="left" w:pos="726"/>
        </w:tabs>
        <w:spacing w:line="237" w:lineRule="auto"/>
        <w:ind w:right="220"/>
        <w:jc w:val="both"/>
        <w:rPr>
          <w:b/>
          <w:bCs/>
          <w:sz w:val="32"/>
          <w:szCs w:val="32"/>
        </w:rPr>
      </w:pPr>
    </w:p>
    <w:p w14:paraId="312A8405" w14:textId="294FFDAC" w:rsidR="00B745A2" w:rsidRPr="00D376C5" w:rsidRDefault="0069601E" w:rsidP="0069601E">
      <w:pPr>
        <w:tabs>
          <w:tab w:val="left" w:pos="726"/>
        </w:tabs>
        <w:spacing w:line="237" w:lineRule="auto"/>
        <w:ind w:right="220"/>
        <w:jc w:val="both"/>
        <w:rPr>
          <w:b/>
          <w:bCs/>
          <w:sz w:val="24"/>
          <w:szCs w:val="24"/>
        </w:rPr>
      </w:pPr>
      <w:r w:rsidRPr="00D376C5">
        <w:rPr>
          <w:b/>
          <w:bCs/>
          <w:sz w:val="24"/>
          <w:szCs w:val="24"/>
        </w:rPr>
        <w:t>Aims to:</w:t>
      </w:r>
    </w:p>
    <w:p w14:paraId="311C0AED" w14:textId="77777777" w:rsidR="0069601E" w:rsidRDefault="0069601E" w:rsidP="0069601E">
      <w:pPr>
        <w:tabs>
          <w:tab w:val="left" w:pos="726"/>
        </w:tabs>
        <w:spacing w:line="237" w:lineRule="auto"/>
        <w:ind w:right="220"/>
        <w:jc w:val="both"/>
      </w:pPr>
    </w:p>
    <w:p w14:paraId="140B85D8" w14:textId="2E1D6610" w:rsidR="0069601E" w:rsidRPr="0069601E" w:rsidRDefault="0069601E" w:rsidP="0069601E">
      <w:pPr>
        <w:pStyle w:val="ListParagraph"/>
        <w:numPr>
          <w:ilvl w:val="0"/>
          <w:numId w:val="7"/>
        </w:numPr>
        <w:tabs>
          <w:tab w:val="left" w:pos="726"/>
        </w:tabs>
        <w:spacing w:line="237" w:lineRule="auto"/>
        <w:ind w:right="220"/>
        <w:jc w:val="both"/>
        <w:rPr>
          <w:sz w:val="24"/>
        </w:rPr>
      </w:pPr>
      <w:r>
        <w:t xml:space="preserve">Increase the extent to which disabled pupils can participate in the </w:t>
      </w:r>
      <w:proofErr w:type="gramStart"/>
      <w:r>
        <w:t>curriculum;</w:t>
      </w:r>
      <w:proofErr w:type="gramEnd"/>
    </w:p>
    <w:p w14:paraId="284961F0" w14:textId="7D853816" w:rsidR="0069601E" w:rsidRPr="0069601E" w:rsidRDefault="0069601E" w:rsidP="0069601E">
      <w:pPr>
        <w:pStyle w:val="ListParagraph"/>
        <w:numPr>
          <w:ilvl w:val="0"/>
          <w:numId w:val="7"/>
        </w:numPr>
        <w:tabs>
          <w:tab w:val="left" w:pos="726"/>
        </w:tabs>
        <w:spacing w:line="237" w:lineRule="auto"/>
        <w:ind w:right="220"/>
        <w:jc w:val="both"/>
        <w:rPr>
          <w:sz w:val="24"/>
        </w:rPr>
      </w:pPr>
      <w:r>
        <w:t>Improve the physical environment of schools to enable those with disabilities to take better advantage of education, benefits, facilities and services provided.</w:t>
      </w:r>
    </w:p>
    <w:p w14:paraId="49406B1D" w14:textId="371D63AA" w:rsidR="0069601E" w:rsidRPr="0069601E" w:rsidRDefault="0069601E" w:rsidP="0069601E">
      <w:pPr>
        <w:pStyle w:val="ListParagraph"/>
        <w:numPr>
          <w:ilvl w:val="0"/>
          <w:numId w:val="7"/>
        </w:numPr>
        <w:tabs>
          <w:tab w:val="left" w:pos="726"/>
        </w:tabs>
        <w:spacing w:line="237" w:lineRule="auto"/>
        <w:ind w:right="220"/>
        <w:jc w:val="both"/>
        <w:rPr>
          <w:sz w:val="24"/>
        </w:rPr>
      </w:pPr>
      <w:r>
        <w:t xml:space="preserve">Improve the availability of accessible information to those with disabilities, including parents, carers and students. </w:t>
      </w:r>
    </w:p>
    <w:p w14:paraId="626C468E" w14:textId="39A62D1C" w:rsidR="0069601E" w:rsidRPr="0069601E" w:rsidRDefault="0069601E" w:rsidP="0069601E">
      <w:pPr>
        <w:pStyle w:val="ListParagraph"/>
        <w:numPr>
          <w:ilvl w:val="0"/>
          <w:numId w:val="7"/>
        </w:numPr>
        <w:tabs>
          <w:tab w:val="left" w:pos="726"/>
        </w:tabs>
        <w:spacing w:line="237" w:lineRule="auto"/>
        <w:ind w:right="220"/>
        <w:jc w:val="both"/>
        <w:rPr>
          <w:sz w:val="24"/>
        </w:rPr>
      </w:pPr>
      <w:r>
        <w:t>This plan sets out the practical accessibility of the site and should be used in conjunction with the SEND Policy to support children with disabilities.</w:t>
      </w:r>
    </w:p>
    <w:p w14:paraId="0AC5E916" w14:textId="77777777" w:rsidR="0069601E" w:rsidRDefault="0069601E" w:rsidP="0069601E">
      <w:pPr>
        <w:tabs>
          <w:tab w:val="left" w:pos="726"/>
        </w:tabs>
        <w:spacing w:line="237" w:lineRule="auto"/>
        <w:ind w:right="220"/>
        <w:jc w:val="both"/>
        <w:rPr>
          <w:sz w:val="24"/>
        </w:rPr>
      </w:pPr>
    </w:p>
    <w:p w14:paraId="4F10D1AD" w14:textId="12E32810" w:rsidR="0069601E" w:rsidRPr="00D376C5" w:rsidRDefault="00D376C5" w:rsidP="0069601E">
      <w:pPr>
        <w:tabs>
          <w:tab w:val="left" w:pos="726"/>
        </w:tabs>
        <w:spacing w:line="237" w:lineRule="auto"/>
        <w:ind w:right="220"/>
        <w:jc w:val="both"/>
        <w:rPr>
          <w:b/>
          <w:bCs/>
          <w:sz w:val="24"/>
        </w:rPr>
      </w:pPr>
      <w:r w:rsidRPr="00D376C5">
        <w:rPr>
          <w:b/>
          <w:bCs/>
          <w:sz w:val="24"/>
        </w:rPr>
        <w:t>Accessibility Plan</w:t>
      </w:r>
    </w:p>
    <w:p w14:paraId="2689DF77" w14:textId="77777777" w:rsidR="0069601E" w:rsidRDefault="0069601E" w:rsidP="0069601E">
      <w:pPr>
        <w:tabs>
          <w:tab w:val="left" w:pos="726"/>
        </w:tabs>
        <w:spacing w:line="237" w:lineRule="auto"/>
        <w:ind w:right="220"/>
        <w:jc w:val="both"/>
        <w:rPr>
          <w:sz w:val="24"/>
        </w:rPr>
      </w:pPr>
    </w:p>
    <w:tbl>
      <w:tblPr>
        <w:tblStyle w:val="TableGrid"/>
        <w:tblW w:w="0" w:type="auto"/>
        <w:tblLook w:val="04A0" w:firstRow="1" w:lastRow="0" w:firstColumn="1" w:lastColumn="0" w:noHBand="0" w:noVBand="1"/>
      </w:tblPr>
      <w:tblGrid>
        <w:gridCol w:w="1805"/>
        <w:gridCol w:w="1800"/>
        <w:gridCol w:w="1776"/>
        <w:gridCol w:w="1863"/>
        <w:gridCol w:w="1806"/>
      </w:tblGrid>
      <w:tr w:rsidR="00817599" w:rsidRPr="00701CFB" w14:paraId="06241E17" w14:textId="77777777" w:rsidTr="00EC1599">
        <w:tc>
          <w:tcPr>
            <w:tcW w:w="1805" w:type="dxa"/>
          </w:tcPr>
          <w:p w14:paraId="793A4FDE" w14:textId="77777777" w:rsidR="00701CFB" w:rsidRDefault="00701CFB" w:rsidP="00701CFB">
            <w:pPr>
              <w:tabs>
                <w:tab w:val="left" w:pos="726"/>
              </w:tabs>
              <w:spacing w:line="237" w:lineRule="auto"/>
              <w:ind w:right="220"/>
              <w:jc w:val="center"/>
              <w:rPr>
                <w:b/>
                <w:bCs/>
                <w:sz w:val="24"/>
              </w:rPr>
            </w:pPr>
          </w:p>
          <w:p w14:paraId="051DF8B9" w14:textId="0A6ADC6C" w:rsidR="00701CFB" w:rsidRPr="00701CFB" w:rsidRDefault="00701CFB" w:rsidP="00701CFB">
            <w:pPr>
              <w:tabs>
                <w:tab w:val="left" w:pos="726"/>
              </w:tabs>
              <w:spacing w:line="237" w:lineRule="auto"/>
              <w:ind w:right="220"/>
              <w:jc w:val="center"/>
              <w:rPr>
                <w:b/>
                <w:bCs/>
                <w:sz w:val="24"/>
              </w:rPr>
            </w:pPr>
            <w:r>
              <w:rPr>
                <w:b/>
                <w:bCs/>
                <w:sz w:val="24"/>
              </w:rPr>
              <w:t>Target</w:t>
            </w:r>
          </w:p>
          <w:p w14:paraId="5BFFC0D2" w14:textId="77777777" w:rsidR="00701CFB" w:rsidRPr="00701CFB" w:rsidRDefault="00701CFB" w:rsidP="00701CFB">
            <w:pPr>
              <w:tabs>
                <w:tab w:val="left" w:pos="726"/>
              </w:tabs>
              <w:spacing w:line="237" w:lineRule="auto"/>
              <w:ind w:right="220"/>
              <w:jc w:val="center"/>
              <w:rPr>
                <w:b/>
                <w:bCs/>
                <w:sz w:val="24"/>
              </w:rPr>
            </w:pPr>
          </w:p>
        </w:tc>
        <w:tc>
          <w:tcPr>
            <w:tcW w:w="1800" w:type="dxa"/>
          </w:tcPr>
          <w:p w14:paraId="739EF822" w14:textId="77777777" w:rsidR="00701CFB" w:rsidRDefault="00701CFB" w:rsidP="00701CFB">
            <w:pPr>
              <w:tabs>
                <w:tab w:val="left" w:pos="726"/>
              </w:tabs>
              <w:spacing w:line="237" w:lineRule="auto"/>
              <w:ind w:right="220"/>
              <w:jc w:val="center"/>
              <w:rPr>
                <w:b/>
                <w:bCs/>
                <w:sz w:val="24"/>
              </w:rPr>
            </w:pPr>
          </w:p>
          <w:p w14:paraId="7D951C2A" w14:textId="7BEC5102" w:rsidR="00701CFB" w:rsidRPr="00701CFB" w:rsidRDefault="00701CFB" w:rsidP="00701CFB">
            <w:pPr>
              <w:tabs>
                <w:tab w:val="left" w:pos="726"/>
              </w:tabs>
              <w:spacing w:line="237" w:lineRule="auto"/>
              <w:ind w:right="220"/>
              <w:jc w:val="center"/>
              <w:rPr>
                <w:b/>
                <w:bCs/>
                <w:sz w:val="24"/>
              </w:rPr>
            </w:pPr>
            <w:r>
              <w:rPr>
                <w:b/>
                <w:bCs/>
                <w:sz w:val="24"/>
              </w:rPr>
              <w:t>Strategies</w:t>
            </w:r>
          </w:p>
        </w:tc>
        <w:tc>
          <w:tcPr>
            <w:tcW w:w="1776" w:type="dxa"/>
          </w:tcPr>
          <w:p w14:paraId="1CC52447" w14:textId="77777777" w:rsidR="00701CFB" w:rsidRDefault="00701CFB" w:rsidP="00701CFB">
            <w:pPr>
              <w:tabs>
                <w:tab w:val="left" w:pos="726"/>
              </w:tabs>
              <w:spacing w:line="237" w:lineRule="auto"/>
              <w:ind w:right="220"/>
              <w:jc w:val="center"/>
              <w:rPr>
                <w:b/>
                <w:bCs/>
                <w:sz w:val="24"/>
              </w:rPr>
            </w:pPr>
          </w:p>
          <w:p w14:paraId="5C667C54" w14:textId="6AE600DB" w:rsidR="00701CFB" w:rsidRPr="00701CFB" w:rsidRDefault="00372192" w:rsidP="00701CFB">
            <w:pPr>
              <w:tabs>
                <w:tab w:val="left" w:pos="726"/>
              </w:tabs>
              <w:spacing w:line="237" w:lineRule="auto"/>
              <w:ind w:right="220"/>
              <w:jc w:val="center"/>
              <w:rPr>
                <w:b/>
                <w:bCs/>
                <w:sz w:val="24"/>
              </w:rPr>
            </w:pPr>
            <w:r>
              <w:rPr>
                <w:b/>
                <w:bCs/>
                <w:sz w:val="24"/>
              </w:rPr>
              <w:t>When</w:t>
            </w:r>
          </w:p>
        </w:tc>
        <w:tc>
          <w:tcPr>
            <w:tcW w:w="1863" w:type="dxa"/>
          </w:tcPr>
          <w:p w14:paraId="6F9183CB" w14:textId="77777777" w:rsidR="00701CFB" w:rsidRDefault="00701CFB" w:rsidP="00701CFB">
            <w:pPr>
              <w:tabs>
                <w:tab w:val="left" w:pos="726"/>
              </w:tabs>
              <w:spacing w:line="237" w:lineRule="auto"/>
              <w:ind w:right="220"/>
              <w:jc w:val="center"/>
              <w:rPr>
                <w:b/>
                <w:bCs/>
                <w:sz w:val="24"/>
              </w:rPr>
            </w:pPr>
          </w:p>
          <w:p w14:paraId="62BC9322" w14:textId="6305ED6A" w:rsidR="00701CFB" w:rsidRPr="00701CFB" w:rsidRDefault="00701CFB" w:rsidP="00701CFB">
            <w:pPr>
              <w:tabs>
                <w:tab w:val="left" w:pos="726"/>
              </w:tabs>
              <w:spacing w:line="237" w:lineRule="auto"/>
              <w:ind w:right="220"/>
              <w:jc w:val="center"/>
              <w:rPr>
                <w:b/>
                <w:bCs/>
                <w:sz w:val="24"/>
              </w:rPr>
            </w:pPr>
            <w:r>
              <w:rPr>
                <w:b/>
                <w:bCs/>
                <w:sz w:val="24"/>
              </w:rPr>
              <w:t>Responsible</w:t>
            </w:r>
          </w:p>
        </w:tc>
        <w:tc>
          <w:tcPr>
            <w:tcW w:w="1806" w:type="dxa"/>
          </w:tcPr>
          <w:p w14:paraId="2E992066" w14:textId="77777777" w:rsidR="00701CFB" w:rsidRDefault="00701CFB" w:rsidP="00701CFB">
            <w:pPr>
              <w:tabs>
                <w:tab w:val="left" w:pos="726"/>
              </w:tabs>
              <w:spacing w:line="237" w:lineRule="auto"/>
              <w:ind w:right="220"/>
              <w:jc w:val="center"/>
              <w:rPr>
                <w:b/>
                <w:bCs/>
                <w:sz w:val="24"/>
              </w:rPr>
            </w:pPr>
          </w:p>
          <w:p w14:paraId="58C9118D" w14:textId="77777777" w:rsidR="00701CFB" w:rsidRDefault="00701CFB" w:rsidP="00701CFB">
            <w:pPr>
              <w:tabs>
                <w:tab w:val="left" w:pos="726"/>
              </w:tabs>
              <w:spacing w:line="237" w:lineRule="auto"/>
              <w:ind w:right="220"/>
              <w:jc w:val="center"/>
              <w:rPr>
                <w:b/>
                <w:bCs/>
                <w:sz w:val="24"/>
              </w:rPr>
            </w:pPr>
            <w:r>
              <w:rPr>
                <w:b/>
                <w:bCs/>
                <w:sz w:val="24"/>
              </w:rPr>
              <w:t>Success Criteria</w:t>
            </w:r>
          </w:p>
          <w:p w14:paraId="7765596A" w14:textId="660F7734" w:rsidR="00701CFB" w:rsidRPr="00701CFB" w:rsidRDefault="00701CFB" w:rsidP="00701CFB">
            <w:pPr>
              <w:tabs>
                <w:tab w:val="left" w:pos="726"/>
              </w:tabs>
              <w:spacing w:line="237" w:lineRule="auto"/>
              <w:ind w:right="220"/>
              <w:jc w:val="center"/>
              <w:rPr>
                <w:b/>
                <w:bCs/>
                <w:sz w:val="24"/>
              </w:rPr>
            </w:pPr>
          </w:p>
        </w:tc>
      </w:tr>
      <w:tr w:rsidR="00817599" w14:paraId="28DFC463" w14:textId="77777777" w:rsidTr="00EC1599">
        <w:tc>
          <w:tcPr>
            <w:tcW w:w="1805" w:type="dxa"/>
            <w:tcBorders>
              <w:bottom w:val="nil"/>
            </w:tcBorders>
          </w:tcPr>
          <w:p w14:paraId="3D3DA5CA" w14:textId="2355DF89" w:rsidR="00701CFB" w:rsidRDefault="0034139A" w:rsidP="00E262C0">
            <w:pPr>
              <w:tabs>
                <w:tab w:val="left" w:pos="726"/>
              </w:tabs>
              <w:spacing w:line="237" w:lineRule="auto"/>
              <w:ind w:right="220"/>
              <w:rPr>
                <w:sz w:val="24"/>
              </w:rPr>
            </w:pPr>
            <w:r>
              <w:t>Staff fully meet the requirements of disabled children’s needs with regards to accessing the curriculum</w:t>
            </w:r>
          </w:p>
        </w:tc>
        <w:tc>
          <w:tcPr>
            <w:tcW w:w="1800" w:type="dxa"/>
          </w:tcPr>
          <w:p w14:paraId="089A4C9C" w14:textId="77777777" w:rsidR="00701CFB" w:rsidRDefault="000365C7" w:rsidP="00E262C0">
            <w:pPr>
              <w:tabs>
                <w:tab w:val="left" w:pos="726"/>
              </w:tabs>
              <w:spacing w:line="237" w:lineRule="auto"/>
              <w:ind w:right="220"/>
            </w:pPr>
            <w:r>
              <w:t xml:space="preserve">Provide ongoing CPD linking to the needs of students with disabilities as part of the transition process and </w:t>
            </w:r>
            <w:proofErr w:type="gramStart"/>
            <w:r>
              <w:t>in the course of</w:t>
            </w:r>
            <w:proofErr w:type="gramEnd"/>
            <w:r>
              <w:t xml:space="preserve"> secondary school as needed.</w:t>
            </w:r>
          </w:p>
          <w:p w14:paraId="010E0BF5" w14:textId="71A37159" w:rsidR="00D23DD6" w:rsidRDefault="00D23DD6" w:rsidP="00E262C0">
            <w:pPr>
              <w:tabs>
                <w:tab w:val="left" w:pos="726"/>
              </w:tabs>
              <w:spacing w:line="237" w:lineRule="auto"/>
              <w:ind w:right="220"/>
              <w:rPr>
                <w:sz w:val="24"/>
              </w:rPr>
            </w:pPr>
          </w:p>
        </w:tc>
        <w:tc>
          <w:tcPr>
            <w:tcW w:w="1776" w:type="dxa"/>
          </w:tcPr>
          <w:p w14:paraId="12ED53C1" w14:textId="2D663A10" w:rsidR="00701CFB" w:rsidRDefault="00372192" w:rsidP="00E262C0">
            <w:pPr>
              <w:tabs>
                <w:tab w:val="left" w:pos="726"/>
              </w:tabs>
              <w:spacing w:line="237" w:lineRule="auto"/>
              <w:ind w:right="220"/>
              <w:rPr>
                <w:sz w:val="24"/>
              </w:rPr>
            </w:pPr>
            <w:r>
              <w:rPr>
                <w:sz w:val="24"/>
              </w:rPr>
              <w:t>On-</w:t>
            </w:r>
            <w:r w:rsidR="00EC1599">
              <w:rPr>
                <w:sz w:val="24"/>
              </w:rPr>
              <w:t>going</w:t>
            </w:r>
          </w:p>
        </w:tc>
        <w:tc>
          <w:tcPr>
            <w:tcW w:w="1863" w:type="dxa"/>
          </w:tcPr>
          <w:p w14:paraId="0E48BB2E" w14:textId="77777777" w:rsidR="00701CFB" w:rsidRDefault="00EC1B46" w:rsidP="00E262C0">
            <w:pPr>
              <w:tabs>
                <w:tab w:val="left" w:pos="726"/>
              </w:tabs>
              <w:spacing w:line="237" w:lineRule="auto"/>
              <w:ind w:right="220"/>
              <w:rPr>
                <w:sz w:val="24"/>
              </w:rPr>
            </w:pPr>
            <w:r>
              <w:rPr>
                <w:sz w:val="24"/>
              </w:rPr>
              <w:t>Operational SENDCO</w:t>
            </w:r>
          </w:p>
          <w:p w14:paraId="475F3472" w14:textId="77777777" w:rsidR="000365C7" w:rsidRDefault="000365C7" w:rsidP="00E262C0">
            <w:pPr>
              <w:tabs>
                <w:tab w:val="left" w:pos="726"/>
              </w:tabs>
              <w:spacing w:line="237" w:lineRule="auto"/>
              <w:ind w:right="220"/>
              <w:rPr>
                <w:sz w:val="24"/>
              </w:rPr>
            </w:pPr>
          </w:p>
          <w:p w14:paraId="35B2CADD" w14:textId="0645053A" w:rsidR="000365C7" w:rsidRDefault="000365C7" w:rsidP="00E262C0">
            <w:pPr>
              <w:tabs>
                <w:tab w:val="left" w:pos="726"/>
              </w:tabs>
              <w:spacing w:line="237" w:lineRule="auto"/>
              <w:ind w:right="220"/>
              <w:rPr>
                <w:sz w:val="24"/>
              </w:rPr>
            </w:pPr>
            <w:r>
              <w:rPr>
                <w:sz w:val="24"/>
              </w:rPr>
              <w:t>Student Support Officer</w:t>
            </w:r>
          </w:p>
        </w:tc>
        <w:tc>
          <w:tcPr>
            <w:tcW w:w="1806" w:type="dxa"/>
          </w:tcPr>
          <w:p w14:paraId="271D44A9" w14:textId="2719CA37" w:rsidR="00701CFB" w:rsidRDefault="00EC1B46" w:rsidP="00E262C0">
            <w:pPr>
              <w:tabs>
                <w:tab w:val="left" w:pos="726"/>
              </w:tabs>
              <w:spacing w:line="237" w:lineRule="auto"/>
              <w:ind w:right="220"/>
              <w:rPr>
                <w:sz w:val="24"/>
              </w:rPr>
            </w:pPr>
            <w:r>
              <w:t xml:space="preserve">Teachers </w:t>
            </w:r>
            <w:proofErr w:type="gramStart"/>
            <w:r>
              <w:t>are able to</w:t>
            </w:r>
            <w:proofErr w:type="gramEnd"/>
            <w:r>
              <w:t xml:space="preserve"> more fully meet the requirements of disabled children’s needs </w:t>
            </w:r>
          </w:p>
        </w:tc>
      </w:tr>
      <w:tr w:rsidR="00EC1599" w14:paraId="7127815A" w14:textId="77777777" w:rsidTr="00EC1599">
        <w:tc>
          <w:tcPr>
            <w:tcW w:w="1805" w:type="dxa"/>
            <w:tcBorders>
              <w:top w:val="nil"/>
            </w:tcBorders>
          </w:tcPr>
          <w:p w14:paraId="3296F4C9" w14:textId="77777777" w:rsidR="00590E01" w:rsidRDefault="00590E01" w:rsidP="00590E01">
            <w:pPr>
              <w:tabs>
                <w:tab w:val="left" w:pos="726"/>
              </w:tabs>
              <w:spacing w:line="237" w:lineRule="auto"/>
              <w:ind w:right="220"/>
            </w:pPr>
            <w:r>
              <w:t>Use assistive technologies and specialist resources when appropriate</w:t>
            </w:r>
          </w:p>
          <w:p w14:paraId="4FA1D762" w14:textId="77777777" w:rsidR="00EC1599" w:rsidRDefault="00EC1599" w:rsidP="00E262C0">
            <w:pPr>
              <w:tabs>
                <w:tab w:val="left" w:pos="726"/>
              </w:tabs>
              <w:spacing w:line="237" w:lineRule="auto"/>
              <w:ind w:right="220"/>
            </w:pPr>
          </w:p>
        </w:tc>
        <w:tc>
          <w:tcPr>
            <w:tcW w:w="1800" w:type="dxa"/>
          </w:tcPr>
          <w:p w14:paraId="0ED0B9E0" w14:textId="6C12DAB8" w:rsidR="00EC1599" w:rsidRDefault="00590E01" w:rsidP="00590E01">
            <w:pPr>
              <w:tabs>
                <w:tab w:val="left" w:pos="726"/>
              </w:tabs>
              <w:spacing w:line="237" w:lineRule="auto"/>
              <w:ind w:right="220"/>
            </w:pPr>
            <w:r>
              <w:t>Make sure software installed where needed</w:t>
            </w:r>
          </w:p>
        </w:tc>
        <w:tc>
          <w:tcPr>
            <w:tcW w:w="1776" w:type="dxa"/>
          </w:tcPr>
          <w:p w14:paraId="78776FBB" w14:textId="56E20AA3" w:rsidR="00EC1599" w:rsidRDefault="00EC1599" w:rsidP="00E262C0">
            <w:pPr>
              <w:tabs>
                <w:tab w:val="left" w:pos="726"/>
              </w:tabs>
              <w:spacing w:line="237" w:lineRule="auto"/>
              <w:ind w:right="220"/>
              <w:rPr>
                <w:sz w:val="24"/>
              </w:rPr>
            </w:pPr>
            <w:r>
              <w:rPr>
                <w:sz w:val="24"/>
              </w:rPr>
              <w:t>As needed</w:t>
            </w:r>
          </w:p>
        </w:tc>
        <w:tc>
          <w:tcPr>
            <w:tcW w:w="1863" w:type="dxa"/>
          </w:tcPr>
          <w:p w14:paraId="27763FED" w14:textId="77777777" w:rsidR="00EC1599" w:rsidRDefault="00EC1599" w:rsidP="00EC1599">
            <w:pPr>
              <w:tabs>
                <w:tab w:val="left" w:pos="726"/>
              </w:tabs>
              <w:spacing w:line="237" w:lineRule="auto"/>
              <w:ind w:right="220"/>
              <w:rPr>
                <w:sz w:val="24"/>
              </w:rPr>
            </w:pPr>
            <w:r>
              <w:rPr>
                <w:sz w:val="24"/>
              </w:rPr>
              <w:t>Operational SENDCO</w:t>
            </w:r>
          </w:p>
          <w:p w14:paraId="19066354" w14:textId="77777777" w:rsidR="00EC1599" w:rsidRDefault="00EC1599" w:rsidP="00E262C0">
            <w:pPr>
              <w:tabs>
                <w:tab w:val="left" w:pos="726"/>
              </w:tabs>
              <w:spacing w:line="237" w:lineRule="auto"/>
              <w:ind w:right="220"/>
              <w:rPr>
                <w:sz w:val="24"/>
              </w:rPr>
            </w:pPr>
          </w:p>
        </w:tc>
        <w:tc>
          <w:tcPr>
            <w:tcW w:w="1806" w:type="dxa"/>
          </w:tcPr>
          <w:p w14:paraId="0BEA234A" w14:textId="77777777" w:rsidR="00590E01" w:rsidRDefault="006C0408" w:rsidP="00E262C0">
            <w:pPr>
              <w:tabs>
                <w:tab w:val="left" w:pos="726"/>
              </w:tabs>
              <w:spacing w:line="237" w:lineRule="auto"/>
              <w:ind w:right="220"/>
            </w:pPr>
            <w:r>
              <w:t>Student barrier is removed</w:t>
            </w:r>
            <w:r w:rsidR="00590E01">
              <w:t xml:space="preserve"> </w:t>
            </w:r>
          </w:p>
          <w:p w14:paraId="4F1F6FD1" w14:textId="77777777" w:rsidR="00590E01" w:rsidRDefault="00590E01" w:rsidP="00E262C0">
            <w:pPr>
              <w:tabs>
                <w:tab w:val="left" w:pos="726"/>
              </w:tabs>
              <w:spacing w:line="237" w:lineRule="auto"/>
              <w:ind w:right="220"/>
            </w:pPr>
          </w:p>
          <w:p w14:paraId="251D53E0" w14:textId="30588628" w:rsidR="00EC1599" w:rsidRDefault="00590E01" w:rsidP="00E262C0">
            <w:pPr>
              <w:tabs>
                <w:tab w:val="left" w:pos="726"/>
              </w:tabs>
              <w:spacing w:line="237" w:lineRule="auto"/>
              <w:ind w:right="220"/>
            </w:pPr>
            <w:r>
              <w:t>Wider use of SEN resources in classrooms</w:t>
            </w:r>
          </w:p>
        </w:tc>
      </w:tr>
      <w:tr w:rsidR="00817599" w14:paraId="4AA7CBA4" w14:textId="77777777" w:rsidTr="00EC1599">
        <w:tc>
          <w:tcPr>
            <w:tcW w:w="1805" w:type="dxa"/>
          </w:tcPr>
          <w:p w14:paraId="0B20CB20" w14:textId="77777777" w:rsidR="00701CFB" w:rsidRDefault="00CC027A" w:rsidP="00E262C0">
            <w:pPr>
              <w:tabs>
                <w:tab w:val="left" w:pos="726"/>
              </w:tabs>
              <w:spacing w:line="237" w:lineRule="auto"/>
              <w:ind w:right="220"/>
            </w:pPr>
            <w:r>
              <w:t>Improve the availability of accessible information</w:t>
            </w:r>
          </w:p>
          <w:p w14:paraId="2B7DDE43" w14:textId="4EBB54CA" w:rsidR="00CC027A" w:rsidRDefault="00CC027A" w:rsidP="00E262C0">
            <w:pPr>
              <w:tabs>
                <w:tab w:val="left" w:pos="726"/>
              </w:tabs>
              <w:spacing w:line="237" w:lineRule="auto"/>
              <w:ind w:right="220"/>
              <w:rPr>
                <w:sz w:val="24"/>
              </w:rPr>
            </w:pPr>
          </w:p>
        </w:tc>
        <w:tc>
          <w:tcPr>
            <w:tcW w:w="1800" w:type="dxa"/>
          </w:tcPr>
          <w:p w14:paraId="16C47115" w14:textId="2E32C23A" w:rsidR="00701CFB" w:rsidRDefault="00817599" w:rsidP="00E262C0">
            <w:pPr>
              <w:tabs>
                <w:tab w:val="left" w:pos="726"/>
              </w:tabs>
              <w:spacing w:line="237" w:lineRule="auto"/>
              <w:ind w:right="220"/>
              <w:rPr>
                <w:sz w:val="24"/>
              </w:rPr>
            </w:pPr>
            <w:r>
              <w:t>SEND Information Report and other information is accessible to parents and carers</w:t>
            </w:r>
          </w:p>
        </w:tc>
        <w:tc>
          <w:tcPr>
            <w:tcW w:w="1776" w:type="dxa"/>
          </w:tcPr>
          <w:p w14:paraId="0932E3B6" w14:textId="45B86141" w:rsidR="00701CFB" w:rsidRDefault="00817599" w:rsidP="00E262C0">
            <w:pPr>
              <w:tabs>
                <w:tab w:val="left" w:pos="726"/>
              </w:tabs>
              <w:spacing w:line="237" w:lineRule="auto"/>
              <w:ind w:right="220"/>
              <w:rPr>
                <w:sz w:val="24"/>
              </w:rPr>
            </w:pPr>
            <w:r>
              <w:t>Ensure SEND Information Report and policy easily accessible online and up to date with offer of further accessibility support where needed</w:t>
            </w:r>
          </w:p>
        </w:tc>
        <w:tc>
          <w:tcPr>
            <w:tcW w:w="1863" w:type="dxa"/>
          </w:tcPr>
          <w:p w14:paraId="072A8B3B" w14:textId="77777777" w:rsidR="00701CFB" w:rsidRDefault="00D23DD6" w:rsidP="00E262C0">
            <w:pPr>
              <w:tabs>
                <w:tab w:val="left" w:pos="726"/>
              </w:tabs>
              <w:spacing w:line="237" w:lineRule="auto"/>
              <w:ind w:right="220"/>
            </w:pPr>
            <w:r>
              <w:t>SENDCO ESW website team</w:t>
            </w:r>
          </w:p>
          <w:p w14:paraId="00566FA0" w14:textId="6EAA6921" w:rsidR="00D23DD6" w:rsidRDefault="00D23DD6" w:rsidP="00E262C0">
            <w:pPr>
              <w:tabs>
                <w:tab w:val="left" w:pos="726"/>
              </w:tabs>
              <w:spacing w:line="237" w:lineRule="auto"/>
              <w:ind w:right="220"/>
              <w:rPr>
                <w:sz w:val="24"/>
              </w:rPr>
            </w:pPr>
            <w:r>
              <w:t>Headteacher</w:t>
            </w:r>
          </w:p>
        </w:tc>
        <w:tc>
          <w:tcPr>
            <w:tcW w:w="1806" w:type="dxa"/>
          </w:tcPr>
          <w:p w14:paraId="0F04EA93" w14:textId="6D0E9477" w:rsidR="00701CFB" w:rsidRDefault="00D23DD6" w:rsidP="00E262C0">
            <w:pPr>
              <w:tabs>
                <w:tab w:val="left" w:pos="726"/>
              </w:tabs>
              <w:spacing w:line="237" w:lineRule="auto"/>
              <w:ind w:right="220"/>
              <w:rPr>
                <w:sz w:val="24"/>
              </w:rPr>
            </w:pPr>
            <w:r>
              <w:rPr>
                <w:sz w:val="24"/>
              </w:rPr>
              <w:t>On-going</w:t>
            </w:r>
          </w:p>
        </w:tc>
      </w:tr>
    </w:tbl>
    <w:p w14:paraId="08EABA92" w14:textId="77777777" w:rsidR="00D376C5" w:rsidRPr="0069601E" w:rsidRDefault="00D376C5" w:rsidP="0069601E">
      <w:pPr>
        <w:tabs>
          <w:tab w:val="left" w:pos="726"/>
        </w:tabs>
        <w:spacing w:line="237" w:lineRule="auto"/>
        <w:ind w:right="220"/>
        <w:jc w:val="both"/>
        <w:rPr>
          <w:sz w:val="24"/>
        </w:rPr>
      </w:pPr>
    </w:p>
    <w:sectPr w:rsidR="00D376C5" w:rsidRPr="0069601E">
      <w:headerReference w:type="default" r:id="rId12"/>
      <w:pgSz w:w="11900" w:h="16850"/>
      <w:pgMar w:top="1820" w:right="1480" w:bottom="280" w:left="1360" w:header="708"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E0233C" w14:textId="77777777" w:rsidR="00B25658" w:rsidRDefault="00B25658">
      <w:r>
        <w:separator/>
      </w:r>
    </w:p>
  </w:endnote>
  <w:endnote w:type="continuationSeparator" w:id="0">
    <w:p w14:paraId="24D5BB14" w14:textId="77777777" w:rsidR="00B25658" w:rsidRDefault="00B256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MT">
    <w:altName w:val="Arial"/>
    <w:charset w:val="01"/>
    <w:family w:val="swiss"/>
    <w:pitch w:val="variable"/>
  </w:font>
  <w:font w:name="Franklin Gothic Medium">
    <w:panose1 w:val="020B0603020102020204"/>
    <w:charset w:val="00"/>
    <w:family w:val="swiss"/>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DE1F72" w14:textId="77777777" w:rsidR="00B25658" w:rsidRDefault="00B25658">
      <w:r>
        <w:separator/>
      </w:r>
    </w:p>
  </w:footnote>
  <w:footnote w:type="continuationSeparator" w:id="0">
    <w:p w14:paraId="03898987" w14:textId="77777777" w:rsidR="00B25658" w:rsidRDefault="00B256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772CDE" w14:textId="70173C6A" w:rsidR="00B00373" w:rsidRDefault="00B00373">
    <w:pPr>
      <w:pStyle w:val="BodyText"/>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FA5BB9"/>
    <w:multiLevelType w:val="multilevel"/>
    <w:tmpl w:val="4622FA44"/>
    <w:lvl w:ilvl="0">
      <w:start w:val="3"/>
      <w:numFmt w:val="decimal"/>
      <w:lvlText w:val="%1"/>
      <w:lvlJc w:val="left"/>
      <w:pPr>
        <w:ind w:left="661" w:hanging="428"/>
        <w:jc w:val="left"/>
      </w:pPr>
      <w:rPr>
        <w:rFonts w:hint="default"/>
        <w:lang w:val="en-US" w:eastAsia="en-US" w:bidi="ar-SA"/>
      </w:rPr>
    </w:lvl>
    <w:lvl w:ilvl="1">
      <w:numFmt w:val="decimal"/>
      <w:lvlText w:val="%1.%2"/>
      <w:lvlJc w:val="left"/>
      <w:pPr>
        <w:ind w:left="661" w:hanging="428"/>
        <w:jc w:val="left"/>
      </w:pPr>
      <w:rPr>
        <w:rFonts w:ascii="Arial MT" w:eastAsia="Arial MT" w:hAnsi="Arial MT" w:cs="Arial MT" w:hint="default"/>
        <w:w w:val="99"/>
        <w:sz w:val="24"/>
        <w:szCs w:val="24"/>
        <w:lang w:val="en-US" w:eastAsia="en-US" w:bidi="ar-SA"/>
      </w:rPr>
    </w:lvl>
    <w:lvl w:ilvl="2">
      <w:numFmt w:val="bullet"/>
      <w:lvlText w:val="•"/>
      <w:lvlJc w:val="left"/>
      <w:pPr>
        <w:ind w:left="942" w:hanging="418"/>
      </w:pPr>
      <w:rPr>
        <w:rFonts w:ascii="Franklin Gothic Medium" w:eastAsia="Franklin Gothic Medium" w:hAnsi="Franklin Gothic Medium" w:cs="Franklin Gothic Medium" w:hint="default"/>
        <w:w w:val="127"/>
        <w:sz w:val="24"/>
        <w:szCs w:val="24"/>
        <w:lang w:val="en-US" w:eastAsia="en-US" w:bidi="ar-SA"/>
      </w:rPr>
    </w:lvl>
    <w:lvl w:ilvl="3">
      <w:numFmt w:val="bullet"/>
      <w:lvlText w:val="•"/>
      <w:lvlJc w:val="left"/>
      <w:pPr>
        <w:ind w:left="2744" w:hanging="418"/>
      </w:pPr>
      <w:rPr>
        <w:rFonts w:hint="default"/>
        <w:lang w:val="en-US" w:eastAsia="en-US" w:bidi="ar-SA"/>
      </w:rPr>
    </w:lvl>
    <w:lvl w:ilvl="4">
      <w:numFmt w:val="bullet"/>
      <w:lvlText w:val="•"/>
      <w:lvlJc w:val="left"/>
      <w:pPr>
        <w:ind w:left="3646" w:hanging="418"/>
      </w:pPr>
      <w:rPr>
        <w:rFonts w:hint="default"/>
        <w:lang w:val="en-US" w:eastAsia="en-US" w:bidi="ar-SA"/>
      </w:rPr>
    </w:lvl>
    <w:lvl w:ilvl="5">
      <w:numFmt w:val="bullet"/>
      <w:lvlText w:val="•"/>
      <w:lvlJc w:val="left"/>
      <w:pPr>
        <w:ind w:left="4548" w:hanging="418"/>
      </w:pPr>
      <w:rPr>
        <w:rFonts w:hint="default"/>
        <w:lang w:val="en-US" w:eastAsia="en-US" w:bidi="ar-SA"/>
      </w:rPr>
    </w:lvl>
    <w:lvl w:ilvl="6">
      <w:numFmt w:val="bullet"/>
      <w:lvlText w:val="•"/>
      <w:lvlJc w:val="left"/>
      <w:pPr>
        <w:ind w:left="5450" w:hanging="418"/>
      </w:pPr>
      <w:rPr>
        <w:rFonts w:hint="default"/>
        <w:lang w:val="en-US" w:eastAsia="en-US" w:bidi="ar-SA"/>
      </w:rPr>
    </w:lvl>
    <w:lvl w:ilvl="7">
      <w:numFmt w:val="bullet"/>
      <w:lvlText w:val="•"/>
      <w:lvlJc w:val="left"/>
      <w:pPr>
        <w:ind w:left="6352" w:hanging="418"/>
      </w:pPr>
      <w:rPr>
        <w:rFonts w:hint="default"/>
        <w:lang w:val="en-US" w:eastAsia="en-US" w:bidi="ar-SA"/>
      </w:rPr>
    </w:lvl>
    <w:lvl w:ilvl="8">
      <w:numFmt w:val="bullet"/>
      <w:lvlText w:val="•"/>
      <w:lvlJc w:val="left"/>
      <w:pPr>
        <w:ind w:left="7254" w:hanging="418"/>
      </w:pPr>
      <w:rPr>
        <w:rFonts w:hint="default"/>
        <w:lang w:val="en-US" w:eastAsia="en-US" w:bidi="ar-SA"/>
      </w:rPr>
    </w:lvl>
  </w:abstractNum>
  <w:abstractNum w:abstractNumId="1" w15:restartNumberingAfterBreak="0">
    <w:nsid w:val="175252D1"/>
    <w:multiLevelType w:val="hybridMultilevel"/>
    <w:tmpl w:val="3DC62A84"/>
    <w:lvl w:ilvl="0" w:tplc="B5144D8A">
      <w:start w:val="1"/>
      <w:numFmt w:val="decimal"/>
      <w:lvlText w:val="%1."/>
      <w:lvlJc w:val="left"/>
      <w:pPr>
        <w:ind w:left="720" w:hanging="360"/>
      </w:pPr>
      <w:rPr>
        <w:rFonts w:hint="default"/>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3257BFF"/>
    <w:multiLevelType w:val="hybridMultilevel"/>
    <w:tmpl w:val="4C98B342"/>
    <w:lvl w:ilvl="0" w:tplc="95CAF73A">
      <w:numFmt w:val="bullet"/>
      <w:lvlText w:val="•"/>
      <w:lvlJc w:val="left"/>
      <w:pPr>
        <w:ind w:left="954" w:hanging="360"/>
      </w:pPr>
      <w:rPr>
        <w:rFonts w:ascii="Franklin Gothic Medium" w:eastAsia="Franklin Gothic Medium" w:hAnsi="Franklin Gothic Medium" w:cs="Franklin Gothic Medium" w:hint="default"/>
        <w:w w:val="127"/>
        <w:sz w:val="24"/>
        <w:szCs w:val="24"/>
        <w:lang w:val="en-US" w:eastAsia="en-US" w:bidi="ar-SA"/>
      </w:rPr>
    </w:lvl>
    <w:lvl w:ilvl="1" w:tplc="F2E85FF8">
      <w:numFmt w:val="bullet"/>
      <w:lvlText w:val="•"/>
      <w:lvlJc w:val="left"/>
      <w:pPr>
        <w:ind w:left="1769" w:hanging="360"/>
      </w:pPr>
      <w:rPr>
        <w:rFonts w:hint="default"/>
        <w:lang w:val="en-US" w:eastAsia="en-US" w:bidi="ar-SA"/>
      </w:rPr>
    </w:lvl>
    <w:lvl w:ilvl="2" w:tplc="44C827A6">
      <w:numFmt w:val="bullet"/>
      <w:lvlText w:val="•"/>
      <w:lvlJc w:val="left"/>
      <w:pPr>
        <w:ind w:left="2579" w:hanging="360"/>
      </w:pPr>
      <w:rPr>
        <w:rFonts w:hint="default"/>
        <w:lang w:val="en-US" w:eastAsia="en-US" w:bidi="ar-SA"/>
      </w:rPr>
    </w:lvl>
    <w:lvl w:ilvl="3" w:tplc="4D58905C">
      <w:numFmt w:val="bullet"/>
      <w:lvlText w:val="•"/>
      <w:lvlJc w:val="left"/>
      <w:pPr>
        <w:ind w:left="3389" w:hanging="360"/>
      </w:pPr>
      <w:rPr>
        <w:rFonts w:hint="default"/>
        <w:lang w:val="en-US" w:eastAsia="en-US" w:bidi="ar-SA"/>
      </w:rPr>
    </w:lvl>
    <w:lvl w:ilvl="4" w:tplc="BD76112C">
      <w:numFmt w:val="bullet"/>
      <w:lvlText w:val="•"/>
      <w:lvlJc w:val="left"/>
      <w:pPr>
        <w:ind w:left="4199" w:hanging="360"/>
      </w:pPr>
      <w:rPr>
        <w:rFonts w:hint="default"/>
        <w:lang w:val="en-US" w:eastAsia="en-US" w:bidi="ar-SA"/>
      </w:rPr>
    </w:lvl>
    <w:lvl w:ilvl="5" w:tplc="1E02BC34">
      <w:numFmt w:val="bullet"/>
      <w:lvlText w:val="•"/>
      <w:lvlJc w:val="left"/>
      <w:pPr>
        <w:ind w:left="5009" w:hanging="360"/>
      </w:pPr>
      <w:rPr>
        <w:rFonts w:hint="default"/>
        <w:lang w:val="en-US" w:eastAsia="en-US" w:bidi="ar-SA"/>
      </w:rPr>
    </w:lvl>
    <w:lvl w:ilvl="6" w:tplc="AFD03CFE">
      <w:numFmt w:val="bullet"/>
      <w:lvlText w:val="•"/>
      <w:lvlJc w:val="left"/>
      <w:pPr>
        <w:ind w:left="5819" w:hanging="360"/>
      </w:pPr>
      <w:rPr>
        <w:rFonts w:hint="default"/>
        <w:lang w:val="en-US" w:eastAsia="en-US" w:bidi="ar-SA"/>
      </w:rPr>
    </w:lvl>
    <w:lvl w:ilvl="7" w:tplc="2ED63DBE">
      <w:numFmt w:val="bullet"/>
      <w:lvlText w:val="•"/>
      <w:lvlJc w:val="left"/>
      <w:pPr>
        <w:ind w:left="6629" w:hanging="360"/>
      </w:pPr>
      <w:rPr>
        <w:rFonts w:hint="default"/>
        <w:lang w:val="en-US" w:eastAsia="en-US" w:bidi="ar-SA"/>
      </w:rPr>
    </w:lvl>
    <w:lvl w:ilvl="8" w:tplc="080876F0">
      <w:numFmt w:val="bullet"/>
      <w:lvlText w:val="•"/>
      <w:lvlJc w:val="left"/>
      <w:pPr>
        <w:ind w:left="7439" w:hanging="360"/>
      </w:pPr>
      <w:rPr>
        <w:rFonts w:hint="default"/>
        <w:lang w:val="en-US" w:eastAsia="en-US" w:bidi="ar-SA"/>
      </w:rPr>
    </w:lvl>
  </w:abstractNum>
  <w:abstractNum w:abstractNumId="3" w15:restartNumberingAfterBreak="0">
    <w:nsid w:val="2A536EF7"/>
    <w:multiLevelType w:val="multilevel"/>
    <w:tmpl w:val="AFA4B848"/>
    <w:lvl w:ilvl="0">
      <w:start w:val="2"/>
      <w:numFmt w:val="decimal"/>
      <w:lvlText w:val="%1"/>
      <w:lvlJc w:val="left"/>
      <w:pPr>
        <w:ind w:left="581" w:hanging="468"/>
        <w:jc w:val="left"/>
      </w:pPr>
      <w:rPr>
        <w:rFonts w:hint="default"/>
        <w:lang w:val="en-US" w:eastAsia="en-US" w:bidi="ar-SA"/>
      </w:rPr>
    </w:lvl>
    <w:lvl w:ilvl="1">
      <w:numFmt w:val="decimal"/>
      <w:lvlText w:val="%1.%2"/>
      <w:lvlJc w:val="left"/>
      <w:pPr>
        <w:ind w:left="581" w:hanging="468"/>
        <w:jc w:val="right"/>
      </w:pPr>
      <w:rPr>
        <w:rFonts w:ascii="Arial MT" w:eastAsia="Arial MT" w:hAnsi="Arial MT" w:cs="Arial MT" w:hint="default"/>
        <w:w w:val="99"/>
        <w:sz w:val="24"/>
        <w:szCs w:val="24"/>
        <w:lang w:val="en-US" w:eastAsia="en-US" w:bidi="ar-SA"/>
      </w:rPr>
    </w:lvl>
    <w:lvl w:ilvl="2">
      <w:numFmt w:val="bullet"/>
      <w:lvlText w:val="•"/>
      <w:lvlJc w:val="left"/>
      <w:pPr>
        <w:ind w:left="954" w:hanging="260"/>
      </w:pPr>
      <w:rPr>
        <w:rFonts w:ascii="Arial MT" w:eastAsia="Arial MT" w:hAnsi="Arial MT" w:cs="Arial MT" w:hint="default"/>
        <w:w w:val="100"/>
        <w:sz w:val="24"/>
        <w:szCs w:val="24"/>
        <w:lang w:val="en-US" w:eastAsia="en-US" w:bidi="ar-SA"/>
      </w:rPr>
    </w:lvl>
    <w:lvl w:ilvl="3">
      <w:numFmt w:val="bullet"/>
      <w:lvlText w:val="•"/>
      <w:lvlJc w:val="left"/>
      <w:pPr>
        <w:ind w:left="2759" w:hanging="260"/>
      </w:pPr>
      <w:rPr>
        <w:rFonts w:hint="default"/>
        <w:lang w:val="en-US" w:eastAsia="en-US" w:bidi="ar-SA"/>
      </w:rPr>
    </w:lvl>
    <w:lvl w:ilvl="4">
      <w:numFmt w:val="bullet"/>
      <w:lvlText w:val="•"/>
      <w:lvlJc w:val="left"/>
      <w:pPr>
        <w:ind w:left="3659" w:hanging="260"/>
      </w:pPr>
      <w:rPr>
        <w:rFonts w:hint="default"/>
        <w:lang w:val="en-US" w:eastAsia="en-US" w:bidi="ar-SA"/>
      </w:rPr>
    </w:lvl>
    <w:lvl w:ilvl="5">
      <w:numFmt w:val="bullet"/>
      <w:lvlText w:val="•"/>
      <w:lvlJc w:val="left"/>
      <w:pPr>
        <w:ind w:left="4559" w:hanging="260"/>
      </w:pPr>
      <w:rPr>
        <w:rFonts w:hint="default"/>
        <w:lang w:val="en-US" w:eastAsia="en-US" w:bidi="ar-SA"/>
      </w:rPr>
    </w:lvl>
    <w:lvl w:ilvl="6">
      <w:numFmt w:val="bullet"/>
      <w:lvlText w:val="•"/>
      <w:lvlJc w:val="left"/>
      <w:pPr>
        <w:ind w:left="5459" w:hanging="260"/>
      </w:pPr>
      <w:rPr>
        <w:rFonts w:hint="default"/>
        <w:lang w:val="en-US" w:eastAsia="en-US" w:bidi="ar-SA"/>
      </w:rPr>
    </w:lvl>
    <w:lvl w:ilvl="7">
      <w:numFmt w:val="bullet"/>
      <w:lvlText w:val="•"/>
      <w:lvlJc w:val="left"/>
      <w:pPr>
        <w:ind w:left="6359" w:hanging="260"/>
      </w:pPr>
      <w:rPr>
        <w:rFonts w:hint="default"/>
        <w:lang w:val="en-US" w:eastAsia="en-US" w:bidi="ar-SA"/>
      </w:rPr>
    </w:lvl>
    <w:lvl w:ilvl="8">
      <w:numFmt w:val="bullet"/>
      <w:lvlText w:val="•"/>
      <w:lvlJc w:val="left"/>
      <w:pPr>
        <w:ind w:left="7259" w:hanging="260"/>
      </w:pPr>
      <w:rPr>
        <w:rFonts w:hint="default"/>
        <w:lang w:val="en-US" w:eastAsia="en-US" w:bidi="ar-SA"/>
      </w:rPr>
    </w:lvl>
  </w:abstractNum>
  <w:abstractNum w:abstractNumId="4" w15:restartNumberingAfterBreak="0">
    <w:nsid w:val="3AFB6F1F"/>
    <w:multiLevelType w:val="hybridMultilevel"/>
    <w:tmpl w:val="A8403518"/>
    <w:lvl w:ilvl="0" w:tplc="5C28CC96">
      <w:numFmt w:val="bullet"/>
      <w:lvlText w:val="•"/>
      <w:lvlJc w:val="left"/>
      <w:pPr>
        <w:ind w:left="942" w:hanging="341"/>
      </w:pPr>
      <w:rPr>
        <w:rFonts w:ascii="Franklin Gothic Medium" w:eastAsia="Franklin Gothic Medium" w:hAnsi="Franklin Gothic Medium" w:cs="Franklin Gothic Medium" w:hint="default"/>
        <w:w w:val="127"/>
        <w:sz w:val="24"/>
        <w:szCs w:val="24"/>
        <w:lang w:val="en-US" w:eastAsia="en-US" w:bidi="ar-SA"/>
      </w:rPr>
    </w:lvl>
    <w:lvl w:ilvl="1" w:tplc="303CC43E">
      <w:numFmt w:val="bullet"/>
      <w:lvlText w:val="•"/>
      <w:lvlJc w:val="left"/>
      <w:pPr>
        <w:ind w:left="1751" w:hanging="341"/>
      </w:pPr>
      <w:rPr>
        <w:rFonts w:hint="default"/>
        <w:lang w:val="en-US" w:eastAsia="en-US" w:bidi="ar-SA"/>
      </w:rPr>
    </w:lvl>
    <w:lvl w:ilvl="2" w:tplc="346EB23A">
      <w:numFmt w:val="bullet"/>
      <w:lvlText w:val="•"/>
      <w:lvlJc w:val="left"/>
      <w:pPr>
        <w:ind w:left="2563" w:hanging="341"/>
      </w:pPr>
      <w:rPr>
        <w:rFonts w:hint="default"/>
        <w:lang w:val="en-US" w:eastAsia="en-US" w:bidi="ar-SA"/>
      </w:rPr>
    </w:lvl>
    <w:lvl w:ilvl="3" w:tplc="F4A86042">
      <w:numFmt w:val="bullet"/>
      <w:lvlText w:val="•"/>
      <w:lvlJc w:val="left"/>
      <w:pPr>
        <w:ind w:left="3375" w:hanging="341"/>
      </w:pPr>
      <w:rPr>
        <w:rFonts w:hint="default"/>
        <w:lang w:val="en-US" w:eastAsia="en-US" w:bidi="ar-SA"/>
      </w:rPr>
    </w:lvl>
    <w:lvl w:ilvl="4" w:tplc="196CA0F4">
      <w:numFmt w:val="bullet"/>
      <w:lvlText w:val="•"/>
      <w:lvlJc w:val="left"/>
      <w:pPr>
        <w:ind w:left="4187" w:hanging="341"/>
      </w:pPr>
      <w:rPr>
        <w:rFonts w:hint="default"/>
        <w:lang w:val="en-US" w:eastAsia="en-US" w:bidi="ar-SA"/>
      </w:rPr>
    </w:lvl>
    <w:lvl w:ilvl="5" w:tplc="4A8AF7F0">
      <w:numFmt w:val="bullet"/>
      <w:lvlText w:val="•"/>
      <w:lvlJc w:val="left"/>
      <w:pPr>
        <w:ind w:left="4999" w:hanging="341"/>
      </w:pPr>
      <w:rPr>
        <w:rFonts w:hint="default"/>
        <w:lang w:val="en-US" w:eastAsia="en-US" w:bidi="ar-SA"/>
      </w:rPr>
    </w:lvl>
    <w:lvl w:ilvl="6" w:tplc="65607B34">
      <w:numFmt w:val="bullet"/>
      <w:lvlText w:val="•"/>
      <w:lvlJc w:val="left"/>
      <w:pPr>
        <w:ind w:left="5811" w:hanging="341"/>
      </w:pPr>
      <w:rPr>
        <w:rFonts w:hint="default"/>
        <w:lang w:val="en-US" w:eastAsia="en-US" w:bidi="ar-SA"/>
      </w:rPr>
    </w:lvl>
    <w:lvl w:ilvl="7" w:tplc="17269322">
      <w:numFmt w:val="bullet"/>
      <w:lvlText w:val="•"/>
      <w:lvlJc w:val="left"/>
      <w:pPr>
        <w:ind w:left="6623" w:hanging="341"/>
      </w:pPr>
      <w:rPr>
        <w:rFonts w:hint="default"/>
        <w:lang w:val="en-US" w:eastAsia="en-US" w:bidi="ar-SA"/>
      </w:rPr>
    </w:lvl>
    <w:lvl w:ilvl="8" w:tplc="E69ED23A">
      <w:numFmt w:val="bullet"/>
      <w:lvlText w:val="•"/>
      <w:lvlJc w:val="left"/>
      <w:pPr>
        <w:ind w:left="7435" w:hanging="341"/>
      </w:pPr>
      <w:rPr>
        <w:rFonts w:hint="default"/>
        <w:lang w:val="en-US" w:eastAsia="en-US" w:bidi="ar-SA"/>
      </w:rPr>
    </w:lvl>
  </w:abstractNum>
  <w:abstractNum w:abstractNumId="5" w15:restartNumberingAfterBreak="0">
    <w:nsid w:val="4A8B6FAD"/>
    <w:multiLevelType w:val="hybridMultilevel"/>
    <w:tmpl w:val="2C646584"/>
    <w:lvl w:ilvl="0" w:tplc="101A0D0E">
      <w:numFmt w:val="bullet"/>
      <w:lvlText w:val="•"/>
      <w:lvlJc w:val="left"/>
      <w:pPr>
        <w:ind w:left="954" w:hanging="360"/>
      </w:pPr>
      <w:rPr>
        <w:rFonts w:ascii="Franklin Gothic Medium" w:eastAsia="Franklin Gothic Medium" w:hAnsi="Franklin Gothic Medium" w:cs="Franklin Gothic Medium" w:hint="default"/>
        <w:w w:val="127"/>
        <w:sz w:val="24"/>
        <w:szCs w:val="24"/>
        <w:lang w:val="en-US" w:eastAsia="en-US" w:bidi="ar-SA"/>
      </w:rPr>
    </w:lvl>
    <w:lvl w:ilvl="1" w:tplc="15408374">
      <w:numFmt w:val="bullet"/>
      <w:lvlText w:val="•"/>
      <w:lvlJc w:val="left"/>
      <w:pPr>
        <w:ind w:left="1769" w:hanging="360"/>
      </w:pPr>
      <w:rPr>
        <w:rFonts w:hint="default"/>
        <w:lang w:val="en-US" w:eastAsia="en-US" w:bidi="ar-SA"/>
      </w:rPr>
    </w:lvl>
    <w:lvl w:ilvl="2" w:tplc="6106AC1A">
      <w:numFmt w:val="bullet"/>
      <w:lvlText w:val="•"/>
      <w:lvlJc w:val="left"/>
      <w:pPr>
        <w:ind w:left="2579" w:hanging="360"/>
      </w:pPr>
      <w:rPr>
        <w:rFonts w:hint="default"/>
        <w:lang w:val="en-US" w:eastAsia="en-US" w:bidi="ar-SA"/>
      </w:rPr>
    </w:lvl>
    <w:lvl w:ilvl="3" w:tplc="D76A8BCE">
      <w:numFmt w:val="bullet"/>
      <w:lvlText w:val="•"/>
      <w:lvlJc w:val="left"/>
      <w:pPr>
        <w:ind w:left="3389" w:hanging="360"/>
      </w:pPr>
      <w:rPr>
        <w:rFonts w:hint="default"/>
        <w:lang w:val="en-US" w:eastAsia="en-US" w:bidi="ar-SA"/>
      </w:rPr>
    </w:lvl>
    <w:lvl w:ilvl="4" w:tplc="06680F22">
      <w:numFmt w:val="bullet"/>
      <w:lvlText w:val="•"/>
      <w:lvlJc w:val="left"/>
      <w:pPr>
        <w:ind w:left="4199" w:hanging="360"/>
      </w:pPr>
      <w:rPr>
        <w:rFonts w:hint="default"/>
        <w:lang w:val="en-US" w:eastAsia="en-US" w:bidi="ar-SA"/>
      </w:rPr>
    </w:lvl>
    <w:lvl w:ilvl="5" w:tplc="DC682524">
      <w:numFmt w:val="bullet"/>
      <w:lvlText w:val="•"/>
      <w:lvlJc w:val="left"/>
      <w:pPr>
        <w:ind w:left="5009" w:hanging="360"/>
      </w:pPr>
      <w:rPr>
        <w:rFonts w:hint="default"/>
        <w:lang w:val="en-US" w:eastAsia="en-US" w:bidi="ar-SA"/>
      </w:rPr>
    </w:lvl>
    <w:lvl w:ilvl="6" w:tplc="4A6678E6">
      <w:numFmt w:val="bullet"/>
      <w:lvlText w:val="•"/>
      <w:lvlJc w:val="left"/>
      <w:pPr>
        <w:ind w:left="5819" w:hanging="360"/>
      </w:pPr>
      <w:rPr>
        <w:rFonts w:hint="default"/>
        <w:lang w:val="en-US" w:eastAsia="en-US" w:bidi="ar-SA"/>
      </w:rPr>
    </w:lvl>
    <w:lvl w:ilvl="7" w:tplc="7F58E08C">
      <w:numFmt w:val="bullet"/>
      <w:lvlText w:val="•"/>
      <w:lvlJc w:val="left"/>
      <w:pPr>
        <w:ind w:left="6629" w:hanging="360"/>
      </w:pPr>
      <w:rPr>
        <w:rFonts w:hint="default"/>
        <w:lang w:val="en-US" w:eastAsia="en-US" w:bidi="ar-SA"/>
      </w:rPr>
    </w:lvl>
    <w:lvl w:ilvl="8" w:tplc="E8D60618">
      <w:numFmt w:val="bullet"/>
      <w:lvlText w:val="•"/>
      <w:lvlJc w:val="left"/>
      <w:pPr>
        <w:ind w:left="7439" w:hanging="360"/>
      </w:pPr>
      <w:rPr>
        <w:rFonts w:hint="default"/>
        <w:lang w:val="en-US" w:eastAsia="en-US" w:bidi="ar-SA"/>
      </w:rPr>
    </w:lvl>
  </w:abstractNum>
  <w:abstractNum w:abstractNumId="6" w15:restartNumberingAfterBreak="0">
    <w:nsid w:val="4D4355D2"/>
    <w:multiLevelType w:val="multilevel"/>
    <w:tmpl w:val="4E1CD7C8"/>
    <w:lvl w:ilvl="0">
      <w:start w:val="1"/>
      <w:numFmt w:val="decimal"/>
      <w:lvlText w:val="%1."/>
      <w:lvlJc w:val="left"/>
      <w:pPr>
        <w:ind w:left="474" w:hanging="360"/>
        <w:jc w:val="left"/>
      </w:pPr>
      <w:rPr>
        <w:rFonts w:ascii="Arial MT" w:eastAsia="Arial MT" w:hAnsi="Arial MT" w:cs="Arial MT" w:hint="default"/>
        <w:w w:val="100"/>
        <w:sz w:val="24"/>
        <w:szCs w:val="24"/>
        <w:lang w:val="en-US" w:eastAsia="en-US" w:bidi="ar-SA"/>
      </w:rPr>
    </w:lvl>
    <w:lvl w:ilvl="1">
      <w:start w:val="1"/>
      <w:numFmt w:val="decimal"/>
      <w:lvlText w:val="%1.%2."/>
      <w:lvlJc w:val="left"/>
      <w:pPr>
        <w:ind w:left="906" w:hanging="432"/>
        <w:jc w:val="left"/>
      </w:pPr>
      <w:rPr>
        <w:rFonts w:ascii="Arial MT" w:eastAsia="Arial MT" w:hAnsi="Arial MT" w:cs="Arial MT" w:hint="default"/>
        <w:w w:val="99"/>
        <w:sz w:val="24"/>
        <w:szCs w:val="24"/>
        <w:lang w:val="en-US" w:eastAsia="en-US" w:bidi="ar-SA"/>
      </w:rPr>
    </w:lvl>
    <w:lvl w:ilvl="2">
      <w:numFmt w:val="bullet"/>
      <w:lvlText w:val=""/>
      <w:lvlJc w:val="left"/>
      <w:pPr>
        <w:ind w:left="954" w:hanging="341"/>
      </w:pPr>
      <w:rPr>
        <w:rFonts w:ascii="Symbol" w:eastAsia="Symbol" w:hAnsi="Symbol" w:cs="Symbol" w:hint="default"/>
        <w:w w:val="100"/>
        <w:sz w:val="24"/>
        <w:szCs w:val="24"/>
        <w:lang w:val="en-US" w:eastAsia="en-US" w:bidi="ar-SA"/>
      </w:rPr>
    </w:lvl>
    <w:lvl w:ilvl="3">
      <w:numFmt w:val="bullet"/>
      <w:lvlText w:val="•"/>
      <w:lvlJc w:val="left"/>
      <w:pPr>
        <w:ind w:left="1972" w:hanging="341"/>
      </w:pPr>
      <w:rPr>
        <w:rFonts w:hint="default"/>
        <w:lang w:val="en-US" w:eastAsia="en-US" w:bidi="ar-SA"/>
      </w:rPr>
    </w:lvl>
    <w:lvl w:ilvl="4">
      <w:numFmt w:val="bullet"/>
      <w:lvlText w:val="•"/>
      <w:lvlJc w:val="left"/>
      <w:pPr>
        <w:ind w:left="2984" w:hanging="341"/>
      </w:pPr>
      <w:rPr>
        <w:rFonts w:hint="default"/>
        <w:lang w:val="en-US" w:eastAsia="en-US" w:bidi="ar-SA"/>
      </w:rPr>
    </w:lvl>
    <w:lvl w:ilvl="5">
      <w:numFmt w:val="bullet"/>
      <w:lvlText w:val="•"/>
      <w:lvlJc w:val="left"/>
      <w:pPr>
        <w:ind w:left="3997" w:hanging="341"/>
      </w:pPr>
      <w:rPr>
        <w:rFonts w:hint="default"/>
        <w:lang w:val="en-US" w:eastAsia="en-US" w:bidi="ar-SA"/>
      </w:rPr>
    </w:lvl>
    <w:lvl w:ilvl="6">
      <w:numFmt w:val="bullet"/>
      <w:lvlText w:val="•"/>
      <w:lvlJc w:val="left"/>
      <w:pPr>
        <w:ind w:left="5009" w:hanging="341"/>
      </w:pPr>
      <w:rPr>
        <w:rFonts w:hint="default"/>
        <w:lang w:val="en-US" w:eastAsia="en-US" w:bidi="ar-SA"/>
      </w:rPr>
    </w:lvl>
    <w:lvl w:ilvl="7">
      <w:numFmt w:val="bullet"/>
      <w:lvlText w:val="•"/>
      <w:lvlJc w:val="left"/>
      <w:pPr>
        <w:ind w:left="6022" w:hanging="341"/>
      </w:pPr>
      <w:rPr>
        <w:rFonts w:hint="default"/>
        <w:lang w:val="en-US" w:eastAsia="en-US" w:bidi="ar-SA"/>
      </w:rPr>
    </w:lvl>
    <w:lvl w:ilvl="8">
      <w:numFmt w:val="bullet"/>
      <w:lvlText w:val="•"/>
      <w:lvlJc w:val="left"/>
      <w:pPr>
        <w:ind w:left="7034" w:hanging="341"/>
      </w:pPr>
      <w:rPr>
        <w:rFonts w:hint="default"/>
        <w:lang w:val="en-US" w:eastAsia="en-US" w:bidi="ar-SA"/>
      </w:rPr>
    </w:lvl>
  </w:abstractNum>
  <w:num w:numId="1" w16cid:durableId="97720414">
    <w:abstractNumId w:val="0"/>
  </w:num>
  <w:num w:numId="2" w16cid:durableId="710810027">
    <w:abstractNumId w:val="5"/>
  </w:num>
  <w:num w:numId="3" w16cid:durableId="2110546027">
    <w:abstractNumId w:val="2"/>
  </w:num>
  <w:num w:numId="4" w16cid:durableId="60107733">
    <w:abstractNumId w:val="3"/>
  </w:num>
  <w:num w:numId="5" w16cid:durableId="175387796">
    <w:abstractNumId w:val="4"/>
  </w:num>
  <w:num w:numId="6" w16cid:durableId="873689415">
    <w:abstractNumId w:val="6"/>
  </w:num>
  <w:num w:numId="7" w16cid:durableId="156213856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0373"/>
    <w:rsid w:val="00031383"/>
    <w:rsid w:val="000365C7"/>
    <w:rsid w:val="00190A7C"/>
    <w:rsid w:val="0028500E"/>
    <w:rsid w:val="00300ED5"/>
    <w:rsid w:val="0034139A"/>
    <w:rsid w:val="00372192"/>
    <w:rsid w:val="003954BD"/>
    <w:rsid w:val="00484EB3"/>
    <w:rsid w:val="00590E01"/>
    <w:rsid w:val="00673BD2"/>
    <w:rsid w:val="0069601E"/>
    <w:rsid w:val="006C0408"/>
    <w:rsid w:val="00701CFB"/>
    <w:rsid w:val="00733DE3"/>
    <w:rsid w:val="007737FC"/>
    <w:rsid w:val="00773EE1"/>
    <w:rsid w:val="00786CC2"/>
    <w:rsid w:val="007D72C2"/>
    <w:rsid w:val="00817599"/>
    <w:rsid w:val="00874EE0"/>
    <w:rsid w:val="009D303A"/>
    <w:rsid w:val="00A1447F"/>
    <w:rsid w:val="00AA1199"/>
    <w:rsid w:val="00B00373"/>
    <w:rsid w:val="00B25658"/>
    <w:rsid w:val="00B745A2"/>
    <w:rsid w:val="00B74948"/>
    <w:rsid w:val="00C30B2E"/>
    <w:rsid w:val="00CC027A"/>
    <w:rsid w:val="00D23DD6"/>
    <w:rsid w:val="00D376C5"/>
    <w:rsid w:val="00D61A06"/>
    <w:rsid w:val="00D652BA"/>
    <w:rsid w:val="00E07666"/>
    <w:rsid w:val="00E262C0"/>
    <w:rsid w:val="00EC1599"/>
    <w:rsid w:val="00EC1B46"/>
    <w:rsid w:val="00FA2943"/>
    <w:rsid w:val="0281D91C"/>
    <w:rsid w:val="0B5CEB66"/>
    <w:rsid w:val="0EB2E13C"/>
    <w:rsid w:val="210BCF93"/>
    <w:rsid w:val="25A85244"/>
    <w:rsid w:val="3CED39D0"/>
    <w:rsid w:val="4760C74F"/>
    <w:rsid w:val="662B5BC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772CB0"/>
  <w15:docId w15:val="{F0C79243-2FDE-480A-A829-9C32E69D60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MT" w:eastAsia="Arial MT" w:hAnsi="Arial MT" w:cs="Arial M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0"/>
    <w:qFormat/>
    <w:pPr>
      <w:spacing w:before="92"/>
      <w:ind w:left="114"/>
    </w:pPr>
    <w:rPr>
      <w:rFonts w:ascii="Arial" w:eastAsia="Arial" w:hAnsi="Arial" w:cs="Arial"/>
      <w:b/>
      <w:bCs/>
      <w:sz w:val="28"/>
      <w:szCs w:val="28"/>
    </w:rPr>
  </w:style>
  <w:style w:type="paragraph" w:styleId="ListParagraph">
    <w:name w:val="List Paragraph"/>
    <w:basedOn w:val="Normal"/>
    <w:uiPriority w:val="1"/>
    <w:qFormat/>
    <w:pPr>
      <w:ind w:left="954" w:hanging="425"/>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3954BD"/>
    <w:pPr>
      <w:tabs>
        <w:tab w:val="center" w:pos="4513"/>
        <w:tab w:val="right" w:pos="9026"/>
      </w:tabs>
    </w:pPr>
  </w:style>
  <w:style w:type="character" w:customStyle="1" w:styleId="HeaderChar">
    <w:name w:val="Header Char"/>
    <w:basedOn w:val="DefaultParagraphFont"/>
    <w:link w:val="Header"/>
    <w:uiPriority w:val="99"/>
    <w:rsid w:val="003954BD"/>
    <w:rPr>
      <w:rFonts w:ascii="Arial MT" w:eastAsia="Arial MT" w:hAnsi="Arial MT" w:cs="Arial MT"/>
    </w:rPr>
  </w:style>
  <w:style w:type="paragraph" w:styleId="Footer">
    <w:name w:val="footer"/>
    <w:basedOn w:val="Normal"/>
    <w:link w:val="FooterChar"/>
    <w:uiPriority w:val="99"/>
    <w:unhideWhenUsed/>
    <w:rsid w:val="003954BD"/>
    <w:pPr>
      <w:tabs>
        <w:tab w:val="center" w:pos="4513"/>
        <w:tab w:val="right" w:pos="9026"/>
      </w:tabs>
    </w:pPr>
  </w:style>
  <w:style w:type="character" w:customStyle="1" w:styleId="FooterChar">
    <w:name w:val="Footer Char"/>
    <w:basedOn w:val="DefaultParagraphFont"/>
    <w:link w:val="Footer"/>
    <w:uiPriority w:val="99"/>
    <w:rsid w:val="003954BD"/>
    <w:rPr>
      <w:rFonts w:ascii="Arial MT" w:eastAsia="Arial MT" w:hAnsi="Arial MT" w:cs="Arial MT"/>
    </w:rPr>
  </w:style>
  <w:style w:type="table" w:styleId="TableGrid">
    <w:name w:val="Table Grid"/>
    <w:basedOn w:val="TableNormal"/>
    <w:uiPriority w:val="39"/>
    <w:rsid w:val="00701C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41B974E9B42DF42A6DCCCB579A3E4C6" ma:contentTypeVersion="8" ma:contentTypeDescription="Create a new document." ma:contentTypeScope="" ma:versionID="ced09aeeba73ddcf8e88e12f304549e1">
  <xsd:schema xmlns:xsd="http://www.w3.org/2001/XMLSchema" xmlns:xs="http://www.w3.org/2001/XMLSchema" xmlns:p="http://schemas.microsoft.com/office/2006/metadata/properties" xmlns:ns2="f6dbf1d6-2ce5-40df-9cc9-9bb34b01c2e0" xmlns:ns3="9ad13610-ae9a-4e71-a8d9-9480d9997d77" targetNamespace="http://schemas.microsoft.com/office/2006/metadata/properties" ma:root="true" ma:fieldsID="25fc3afc2eae1528bbe241755fb5e230" ns2:_="" ns3:_="">
    <xsd:import namespace="f6dbf1d6-2ce5-40df-9cc9-9bb34b01c2e0"/>
    <xsd:import namespace="9ad13610-ae9a-4e71-a8d9-9480d9997d7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6dbf1d6-2ce5-40df-9cc9-9bb34b01c2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ad13610-ae9a-4e71-a8d9-9480d9997d7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C8224CF-2E4B-42C4-8516-919F984197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6dbf1d6-2ce5-40df-9cc9-9bb34b01c2e0"/>
    <ds:schemaRef ds:uri="9ad13610-ae9a-4e71-a8d9-9480d9997d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BA95A02-80B9-4797-9531-52FEA12BD7D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388CBB7-12FA-47A5-A6DD-E1D7F2E2A68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1107</Words>
  <Characters>6316</Characters>
  <Application>Microsoft Office Word</Application>
  <DocSecurity>0</DocSecurity>
  <Lines>52</Lines>
  <Paragraphs>14</Paragraphs>
  <ScaleCrop>false</ScaleCrop>
  <Company/>
  <LinksUpToDate>false</LinksUpToDate>
  <CharactersWithSpaces>7409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Ian Crews</dc:creator>
  <cp:lastModifiedBy>Claire PLUMB</cp:lastModifiedBy>
  <cp:revision>2</cp:revision>
  <dcterms:created xsi:type="dcterms:W3CDTF">2026-01-07T17:48:00Z</dcterms:created>
  <dcterms:modified xsi:type="dcterms:W3CDTF">2026-01-07T17:48:00Z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2024-04-30T00:00:00Z</vt:filetime>
  </property>
  <property fmtid="{D5CDD505-2E9C-101B-9397-08002B2CF9AE}" pid="3" name="Creator">
    <vt:lpwstr>Microsoft® Word LTSC</vt:lpwstr>
  </property>
  <property fmtid="{D5CDD505-2E9C-101B-9397-08002B2CF9AE}" pid="4" name="LastSaved">
    <vt:filetime>2024-10-11T00:00:00Z</vt:filetime>
  </property>
  <property fmtid="{D5CDD505-2E9C-101B-9397-08002B2CF9AE}" pid="5" name="ContentTypeId">
    <vt:lpwstr>0x010100D41B974E9B42DF42A6DCCCB579A3E4C6</vt:lpwstr>
  </property>
</Properties>
</file>