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CB63A8">
      <w:r>
        <w:rPr>
          <w:noProof/>
          <w:lang w:eastAsia="en-GB"/>
        </w:rPr>
        <w:drawing>
          <wp:anchor distT="0" distB="0" distL="114300" distR="114300" simplePos="0" relativeHeight="251656704" behindDoc="0" locked="0" layoutInCell="1" allowOverlap="1">
            <wp:simplePos x="0" y="0"/>
            <wp:positionH relativeFrom="column">
              <wp:posOffset>5419090</wp:posOffset>
            </wp:positionH>
            <wp:positionV relativeFrom="paragraph">
              <wp:posOffset>-457200</wp:posOffset>
            </wp:positionV>
            <wp:extent cx="904875" cy="857250"/>
            <wp:effectExtent l="0" t="0" r="9525" b="0"/>
            <wp:wrapSquare wrapText="bothSides"/>
            <wp:docPr id="5" name="Picture 5" descr="Health and social care"/>
            <wp:cNvGraphicFramePr/>
            <a:graphic xmlns:a="http://schemas.openxmlformats.org/drawingml/2006/main">
              <a:graphicData uri="http://schemas.openxmlformats.org/drawingml/2006/picture">
                <pic:pic xmlns:pic="http://schemas.openxmlformats.org/drawingml/2006/picture">
                  <pic:nvPicPr>
                    <pic:cNvPr id="5" name="Picture 5" descr="Health and social car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column">
                  <wp:posOffset>1038225</wp:posOffset>
                </wp:positionH>
                <wp:positionV relativeFrom="paragraph">
                  <wp:posOffset>-590550</wp:posOffset>
                </wp:positionV>
                <wp:extent cx="4381500"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47750"/>
                        </a:xfrm>
                        <a:prstGeom prst="rect">
                          <a:avLst/>
                        </a:prstGeom>
                        <a:solidFill>
                          <a:srgbClr val="FFFFFF"/>
                        </a:solidFill>
                        <a:ln w="9525">
                          <a:noFill/>
                          <a:miter lim="800000"/>
                          <a:headEnd/>
                          <a:tailEnd/>
                        </a:ln>
                      </wps:spPr>
                      <wps:txbx>
                        <w:txbxContent>
                          <w:p w:rsidR="009D19F0" w:rsidRPr="00CB63A8" w:rsidRDefault="00802A94" w:rsidP="009D19F0">
                            <w:pPr>
                              <w:pStyle w:val="NoSpacing"/>
                              <w:rPr>
                                <w:rFonts w:ascii="Arial" w:hAnsi="Arial" w:cs="Arial"/>
                                <w:b/>
                                <w:color w:val="7030A0"/>
                                <w:sz w:val="44"/>
                                <w:szCs w:val="44"/>
                              </w:rPr>
                            </w:pPr>
                            <w:r w:rsidRPr="00CB63A8">
                              <w:rPr>
                                <w:rFonts w:ascii="Arial" w:hAnsi="Arial" w:cs="Arial"/>
                                <w:b/>
                                <w:color w:val="7030A0"/>
                                <w:sz w:val="44"/>
                                <w:szCs w:val="44"/>
                              </w:rPr>
                              <w:t>Health and Social Care</w:t>
                            </w:r>
                            <w:r w:rsidR="005A097F" w:rsidRPr="00CB63A8">
                              <w:rPr>
                                <w:rFonts w:ascii="Arial" w:hAnsi="Arial" w:cs="Arial"/>
                                <w:b/>
                                <w:color w:val="7030A0"/>
                                <w:sz w:val="44"/>
                                <w:szCs w:val="44"/>
                              </w:rPr>
                              <w:t xml:space="preserve"> </w:t>
                            </w:r>
                            <w:r w:rsidRPr="00CB63A8">
                              <w:rPr>
                                <w:rFonts w:ascii="Arial" w:hAnsi="Arial" w:cs="Arial"/>
                                <w:b/>
                                <w:color w:val="7030A0"/>
                                <w:sz w:val="44"/>
                                <w:szCs w:val="44"/>
                              </w:rPr>
                              <w:t>Level 3 Cambridge Technical Diploma</w:t>
                            </w:r>
                          </w:p>
                          <w:p w:rsidR="00025FE2" w:rsidRPr="00CB63A8" w:rsidRDefault="00025FE2" w:rsidP="009D19F0">
                            <w:pPr>
                              <w:pStyle w:val="NoSpacing"/>
                              <w:rPr>
                                <w:rFonts w:ascii="Arial" w:hAnsi="Arial" w:cs="Arial"/>
                                <w:b/>
                                <w:color w:val="7030A0"/>
                                <w:sz w:val="44"/>
                                <w:szCs w:val="44"/>
                              </w:rPr>
                            </w:pPr>
                            <w:r w:rsidRPr="00CB63A8">
                              <w:rPr>
                                <w:rFonts w:ascii="Arial" w:hAnsi="Arial" w:cs="Arial"/>
                                <w:b/>
                                <w:color w:val="7030A0"/>
                                <w:sz w:val="44"/>
                                <w:szCs w:val="44"/>
                              </w:rPr>
                              <w:t>202</w:t>
                            </w:r>
                            <w:r w:rsidR="000200E0">
                              <w:rPr>
                                <w:rFonts w:ascii="Arial" w:hAnsi="Arial" w:cs="Arial"/>
                                <w:b/>
                                <w:color w:val="7030A0"/>
                                <w:sz w:val="44"/>
                                <w:szCs w:val="44"/>
                              </w:rPr>
                              <w:t>4</w:t>
                            </w:r>
                            <w:r w:rsidRPr="00CB63A8">
                              <w:rPr>
                                <w:rFonts w:ascii="Arial" w:hAnsi="Arial" w:cs="Arial"/>
                                <w:b/>
                                <w:color w:val="7030A0"/>
                                <w:sz w:val="44"/>
                                <w:szCs w:val="44"/>
                              </w:rPr>
                              <w:t xml:space="preserve"> - 202</w:t>
                            </w:r>
                            <w:r w:rsidR="000200E0">
                              <w:rPr>
                                <w:rFonts w:ascii="Arial" w:hAnsi="Arial" w:cs="Arial"/>
                                <w:b/>
                                <w:color w:val="7030A0"/>
                                <w:sz w:val="44"/>
                                <w:szCs w:val="44"/>
                              </w:rPr>
                              <w:t>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81.75pt;margin-top:-46.5pt;width:34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" stroked="f">
                <v:textbox>
                  <w:txbxContent>
                    <w:p w:rsidR="009D19F0" w:rsidRPr="00CB63A8" w:rsidRDefault="00802A94" w:rsidP="009D19F0">
                      <w:pPr>
                        <w:pStyle w:val="NoSpacing"/>
                        <w:rPr>
                          <w:rFonts w:ascii="Arial" w:hAnsi="Arial" w:cs="Arial"/>
                          <w:b/>
                          <w:color w:val="7030A0"/>
                          <w:sz w:val="44"/>
                          <w:szCs w:val="44"/>
                        </w:rPr>
                      </w:pPr>
                      <w:r w:rsidRPr="00CB63A8">
                        <w:rPr>
                          <w:rFonts w:ascii="Arial" w:hAnsi="Arial" w:cs="Arial"/>
                          <w:b/>
                          <w:color w:val="7030A0"/>
                          <w:sz w:val="44"/>
                          <w:szCs w:val="44"/>
                        </w:rPr>
                        <w:t>Health and Social Care</w:t>
                      </w:r>
                      <w:r w:rsidR="005A097F" w:rsidRPr="00CB63A8">
                        <w:rPr>
                          <w:rFonts w:ascii="Arial" w:hAnsi="Arial" w:cs="Arial"/>
                          <w:b/>
                          <w:color w:val="7030A0"/>
                          <w:sz w:val="44"/>
                          <w:szCs w:val="44"/>
                        </w:rPr>
                        <w:t xml:space="preserve"> </w:t>
                      </w:r>
                      <w:r w:rsidRPr="00CB63A8">
                        <w:rPr>
                          <w:rFonts w:ascii="Arial" w:hAnsi="Arial" w:cs="Arial"/>
                          <w:b/>
                          <w:color w:val="7030A0"/>
                          <w:sz w:val="44"/>
                          <w:szCs w:val="44"/>
                        </w:rPr>
                        <w:t>Level 3 Cambridge Technical Diploma</w:t>
                      </w:r>
                    </w:p>
                    <w:p w:rsidR="00025FE2" w:rsidRPr="00CB63A8" w:rsidRDefault="00025FE2" w:rsidP="009D19F0">
                      <w:pPr>
                        <w:pStyle w:val="NoSpacing"/>
                        <w:rPr>
                          <w:rFonts w:ascii="Arial" w:hAnsi="Arial" w:cs="Arial"/>
                          <w:b/>
                          <w:color w:val="7030A0"/>
                          <w:sz w:val="44"/>
                          <w:szCs w:val="44"/>
                        </w:rPr>
                      </w:pPr>
                      <w:r w:rsidRPr="00CB63A8">
                        <w:rPr>
                          <w:rFonts w:ascii="Arial" w:hAnsi="Arial" w:cs="Arial"/>
                          <w:b/>
                          <w:color w:val="7030A0"/>
                          <w:sz w:val="44"/>
                          <w:szCs w:val="44"/>
                        </w:rPr>
                        <w:t>202</w:t>
                      </w:r>
                      <w:r w:rsidR="000200E0">
                        <w:rPr>
                          <w:rFonts w:ascii="Arial" w:hAnsi="Arial" w:cs="Arial"/>
                          <w:b/>
                          <w:color w:val="7030A0"/>
                          <w:sz w:val="44"/>
                          <w:szCs w:val="44"/>
                        </w:rPr>
                        <w:t>4</w:t>
                      </w:r>
                      <w:r w:rsidRPr="00CB63A8">
                        <w:rPr>
                          <w:rFonts w:ascii="Arial" w:hAnsi="Arial" w:cs="Arial"/>
                          <w:b/>
                          <w:color w:val="7030A0"/>
                          <w:sz w:val="44"/>
                          <w:szCs w:val="44"/>
                        </w:rPr>
                        <w:t xml:space="preserve"> - 202</w:t>
                      </w:r>
                      <w:r w:rsidR="000200E0">
                        <w:rPr>
                          <w:rFonts w:ascii="Arial" w:hAnsi="Arial" w:cs="Arial"/>
                          <w:b/>
                          <w:color w:val="7030A0"/>
                          <w:sz w:val="44"/>
                          <w:szCs w:val="44"/>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5DA0554E" wp14:editId="6AF58420">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7B45" w:rsidRDefault="00247B45" w:rsidP="00920A59"/>
    <w:p w:rsidR="00A03109" w:rsidRDefault="00A03109" w:rsidP="00920A59">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45D6B0D"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B95681" w:rsidRDefault="00B95681" w:rsidP="00B95681">
      <w:pPr>
        <w:rPr>
          <w:rFonts w:ascii="Arial" w:hAnsi="Arial" w:cs="Arial"/>
          <w:b/>
          <w:color w:val="7030A0"/>
          <w:sz w:val="24"/>
          <w:szCs w:val="24"/>
        </w:rPr>
      </w:pPr>
      <w:r w:rsidRPr="00513D04">
        <w:rPr>
          <w:rFonts w:ascii="Arial" w:hAnsi="Arial" w:cs="Arial"/>
          <w:b/>
          <w:color w:val="7030A0"/>
          <w:sz w:val="24"/>
          <w:szCs w:val="24"/>
        </w:rPr>
        <w:t>Examination Board</w:t>
      </w:r>
    </w:p>
    <w:p w:rsidR="00B95681" w:rsidRPr="00513D04" w:rsidRDefault="00B95681" w:rsidP="00B95681">
      <w:pPr>
        <w:rPr>
          <w:rFonts w:ascii="Arial" w:hAnsi="Arial" w:cs="Arial"/>
          <w:color w:val="000000" w:themeColor="text1"/>
          <w:sz w:val="24"/>
          <w:szCs w:val="24"/>
        </w:rPr>
      </w:pPr>
      <w:r>
        <w:rPr>
          <w:rFonts w:ascii="Arial" w:hAnsi="Arial" w:cs="Arial"/>
          <w:color w:val="000000" w:themeColor="text1"/>
          <w:sz w:val="24"/>
          <w:szCs w:val="24"/>
        </w:rPr>
        <w:t>OCR (Diploma – 5833)</w:t>
      </w:r>
    </w:p>
    <w:p w:rsidR="00802A94" w:rsidRPr="00025FE2" w:rsidRDefault="00802A94" w:rsidP="00A66E08">
      <w:pPr>
        <w:pStyle w:val="NoSpacing"/>
        <w:rPr>
          <w:rFonts w:ascii="Arial" w:hAnsi="Arial" w:cs="Arial"/>
          <w:b/>
          <w:color w:val="7030A0"/>
          <w:sz w:val="24"/>
          <w:szCs w:val="24"/>
        </w:rPr>
      </w:pPr>
      <w:r w:rsidRPr="00025FE2">
        <w:rPr>
          <w:rFonts w:ascii="Arial" w:hAnsi="Arial" w:cs="Arial"/>
          <w:b/>
          <w:color w:val="7030A0"/>
          <w:sz w:val="24"/>
          <w:szCs w:val="24"/>
        </w:rPr>
        <w:t>Entry Requirements</w:t>
      </w:r>
      <w:r w:rsidR="00025FE2" w:rsidRPr="00025FE2">
        <w:rPr>
          <w:rFonts w:ascii="Arial" w:hAnsi="Arial" w:cs="Arial"/>
          <w:b/>
          <w:color w:val="7030A0"/>
          <w:sz w:val="24"/>
          <w:szCs w:val="24"/>
        </w:rPr>
        <w:t>:</w:t>
      </w:r>
    </w:p>
    <w:p w:rsidR="007A6EA9" w:rsidRDefault="007A6EA9" w:rsidP="00A66E08">
      <w:pPr>
        <w:pStyle w:val="NoSpacing"/>
        <w:rPr>
          <w:rFonts w:ascii="Arial" w:hAnsi="Arial" w:cs="Arial"/>
          <w:b/>
        </w:rPr>
      </w:pPr>
    </w:p>
    <w:p w:rsidR="00DA12B1" w:rsidRDefault="007A6EA9" w:rsidP="00A66E08">
      <w:pPr>
        <w:pStyle w:val="NoSpacing"/>
        <w:rPr>
          <w:rFonts w:ascii="Arial" w:hAnsi="Arial" w:cs="Arial"/>
          <w:color w:val="676A6C"/>
          <w:shd w:val="clear" w:color="auto" w:fill="FFFFFF"/>
        </w:rPr>
      </w:pPr>
      <w:r w:rsidRPr="007A6EA9">
        <w:rPr>
          <w:rFonts w:ascii="Arial" w:hAnsi="Arial" w:cs="Arial"/>
          <w:color w:val="676A6C"/>
          <w:shd w:val="clear" w:color="auto" w:fill="FFFFFF"/>
        </w:rPr>
        <w:t>You will require a Pass in Level 2 Health and Social Care. If you have not studied this subject at GCSE level you will need GCSE Grade 4 in English Language or English Literature.</w:t>
      </w:r>
    </w:p>
    <w:p w:rsidR="007A6EA9" w:rsidRPr="007A6EA9" w:rsidRDefault="007A6EA9" w:rsidP="00A66E08">
      <w:pPr>
        <w:pStyle w:val="NoSpacing"/>
        <w:rPr>
          <w:rFonts w:ascii="Arial" w:hAnsi="Arial" w:cs="Arial"/>
          <w:color w:val="000000" w:themeColor="text1"/>
          <w:shd w:val="clear" w:color="auto" w:fill="FFFFFF"/>
        </w:rPr>
      </w:pPr>
    </w:p>
    <w:p w:rsidR="00802A94" w:rsidRPr="00025FE2" w:rsidRDefault="00802A94" w:rsidP="00A66E08">
      <w:pPr>
        <w:pStyle w:val="NoSpacing"/>
        <w:rPr>
          <w:rFonts w:ascii="Arial" w:hAnsi="Arial" w:cs="Arial"/>
          <w:b/>
          <w:color w:val="7030A0"/>
          <w:sz w:val="24"/>
          <w:szCs w:val="24"/>
        </w:rPr>
      </w:pPr>
      <w:r w:rsidRPr="00025FE2">
        <w:rPr>
          <w:rFonts w:ascii="Arial" w:hAnsi="Arial" w:cs="Arial"/>
          <w:b/>
          <w:color w:val="7030A0"/>
          <w:sz w:val="24"/>
          <w:szCs w:val="24"/>
        </w:rPr>
        <w:t>What will I be studying?</w:t>
      </w:r>
    </w:p>
    <w:p w:rsidR="00A66E08" w:rsidRPr="00A66E08" w:rsidRDefault="00A66E08" w:rsidP="00A66E08">
      <w:pPr>
        <w:pStyle w:val="NoSpacing"/>
        <w:rPr>
          <w:rFonts w:ascii="Arial" w:hAnsi="Arial" w:cs="Arial"/>
          <w:color w:val="7030A0"/>
        </w:rPr>
      </w:pPr>
    </w:p>
    <w:p w:rsidR="00802A94" w:rsidRPr="00A66E08" w:rsidRDefault="00802A94" w:rsidP="00025FE2">
      <w:pPr>
        <w:pStyle w:val="NoSpacing"/>
        <w:rPr>
          <w:rFonts w:ascii="Arial" w:eastAsia="Arial" w:hAnsi="Arial" w:cs="Arial"/>
        </w:rPr>
      </w:pPr>
      <w:r w:rsidRPr="00A66E08">
        <w:rPr>
          <w:rFonts w:ascii="Arial" w:eastAsia="Arial" w:hAnsi="Arial" w:cs="Arial"/>
        </w:rPr>
        <w:t>In the Level 3 Diploma, there are six units; three in year 12 and three in year 13. These are in addition to the six units studied as part of the Level 3 Extended Certificate in Health and Social Care.</w:t>
      </w:r>
    </w:p>
    <w:p w:rsidR="00802A94" w:rsidRPr="00A66E08" w:rsidRDefault="00802A94" w:rsidP="00025FE2">
      <w:pPr>
        <w:pStyle w:val="NoSpacing"/>
        <w:rPr>
          <w:rFonts w:ascii="Arial" w:eastAsia="Arial" w:hAnsi="Arial" w:cs="Arial"/>
          <w:u w:val="single"/>
        </w:rPr>
      </w:pPr>
      <w:r w:rsidRPr="00025FE2">
        <w:rPr>
          <w:rFonts w:ascii="Arial" w:eastAsia="Arial" w:hAnsi="Arial" w:cs="Arial"/>
          <w:b/>
          <w:u w:val="single"/>
        </w:rPr>
        <w:t>Year 12:</w:t>
      </w:r>
      <w:r w:rsidRPr="00A66E08">
        <w:rPr>
          <w:rFonts w:ascii="Arial" w:eastAsia="Arial" w:hAnsi="Arial" w:cs="Arial"/>
          <w:u w:val="single"/>
        </w:rPr>
        <w:t xml:space="preserve"> </w:t>
      </w:r>
      <w:r w:rsidRPr="00A66E08">
        <w:rPr>
          <w:rFonts w:ascii="Arial" w:hAnsi="Arial" w:cs="Arial"/>
        </w:rPr>
        <w:t>Unit 5: Infection control [internally assessed], Unit 7: Safeguarding [exam], Unit 14: Impact of long-term physiological conditions [internally assessed]</w:t>
      </w:r>
    </w:p>
    <w:p w:rsidR="00802A94" w:rsidRDefault="00802A94" w:rsidP="00025FE2">
      <w:pPr>
        <w:pStyle w:val="NoSpacing"/>
        <w:rPr>
          <w:rFonts w:ascii="Arial" w:eastAsia="Arial" w:hAnsi="Arial" w:cs="Arial"/>
        </w:rPr>
      </w:pPr>
      <w:r w:rsidRPr="00025FE2">
        <w:rPr>
          <w:rFonts w:ascii="Arial" w:hAnsi="Arial" w:cs="Arial"/>
          <w:b/>
          <w:u w:val="single"/>
        </w:rPr>
        <w:t>Year 13:</w:t>
      </w:r>
      <w:r w:rsidRPr="00A66E08">
        <w:rPr>
          <w:rFonts w:ascii="Arial" w:hAnsi="Arial" w:cs="Arial"/>
        </w:rPr>
        <w:t xml:space="preserve"> Unit 6: Personalisation &amp; a person-centred approach to care [exam], Unit 8: Creativity &amp; activity for children </w:t>
      </w:r>
      <w:r w:rsidRPr="00A66E08">
        <w:rPr>
          <w:rFonts w:ascii="Arial" w:eastAsia="Arial" w:hAnsi="Arial" w:cs="Arial"/>
        </w:rPr>
        <w:t>[internally assessed]</w:t>
      </w:r>
      <w:r w:rsidRPr="00A66E08">
        <w:rPr>
          <w:rFonts w:ascii="Arial" w:hAnsi="Arial" w:cs="Arial"/>
        </w:rPr>
        <w:t xml:space="preserve">, Unit 15: Promoting health &amp; wellbeing </w:t>
      </w:r>
      <w:r w:rsidRPr="00A66E08">
        <w:rPr>
          <w:rFonts w:ascii="Arial" w:eastAsia="Arial" w:hAnsi="Arial" w:cs="Arial"/>
        </w:rPr>
        <w:t>[internally assessed]</w:t>
      </w:r>
    </w:p>
    <w:p w:rsidR="00A66E08" w:rsidRPr="00025FE2" w:rsidRDefault="00A66E08" w:rsidP="00025FE2">
      <w:pPr>
        <w:pStyle w:val="NoSpacing"/>
        <w:rPr>
          <w:rFonts w:ascii="Arial" w:hAnsi="Arial" w:cs="Arial"/>
          <w:b/>
          <w:color w:val="7030A0"/>
          <w:sz w:val="24"/>
          <w:szCs w:val="24"/>
        </w:rPr>
      </w:pPr>
    </w:p>
    <w:p w:rsidR="00802A94" w:rsidRPr="00025FE2" w:rsidRDefault="00802A94" w:rsidP="00A66E08">
      <w:pPr>
        <w:pStyle w:val="NoSpacing"/>
        <w:rPr>
          <w:rFonts w:ascii="Arial" w:hAnsi="Arial" w:cs="Arial"/>
          <w:b/>
          <w:color w:val="7030A0"/>
          <w:sz w:val="24"/>
          <w:szCs w:val="24"/>
        </w:rPr>
      </w:pPr>
      <w:r w:rsidRPr="00025FE2">
        <w:rPr>
          <w:rFonts w:ascii="Arial" w:hAnsi="Arial" w:cs="Arial"/>
          <w:b/>
          <w:color w:val="7030A0"/>
          <w:sz w:val="24"/>
          <w:szCs w:val="24"/>
        </w:rPr>
        <w:t>How will I be studying?</w:t>
      </w:r>
    </w:p>
    <w:p w:rsidR="00A66E08" w:rsidRPr="00A66E08" w:rsidRDefault="00A66E08" w:rsidP="00A66E08">
      <w:pPr>
        <w:pStyle w:val="NoSpacing"/>
        <w:rPr>
          <w:rFonts w:ascii="Arial" w:hAnsi="Arial" w:cs="Arial"/>
          <w:color w:val="7030A0"/>
        </w:rPr>
      </w:pPr>
    </w:p>
    <w:p w:rsidR="00802A94" w:rsidRDefault="00802A94" w:rsidP="00A66E08">
      <w:pPr>
        <w:pStyle w:val="NoSpacing"/>
        <w:rPr>
          <w:rFonts w:ascii="Arial" w:hAnsi="Arial" w:cs="Arial"/>
        </w:rPr>
      </w:pPr>
      <w:r w:rsidRPr="00A66E08">
        <w:rPr>
          <w:rFonts w:ascii="Arial" w:hAnsi="Arial" w:cs="Arial"/>
          <w:color w:val="000000" w:themeColor="text1"/>
        </w:rPr>
        <w:t xml:space="preserve">Through discussion, </w:t>
      </w:r>
      <w:r w:rsidRPr="00A66E08">
        <w:rPr>
          <w:rFonts w:ascii="Arial" w:hAnsi="Arial" w:cs="Arial"/>
        </w:rPr>
        <w:t>group work, individual work, presentations, written coursework and conducting research.</w:t>
      </w:r>
    </w:p>
    <w:p w:rsidR="00BB029E" w:rsidRPr="00A66E08" w:rsidRDefault="00BB029E" w:rsidP="00A66E08">
      <w:pPr>
        <w:pStyle w:val="NoSpacing"/>
        <w:rPr>
          <w:rFonts w:ascii="Arial" w:hAnsi="Arial" w:cs="Arial"/>
        </w:rPr>
      </w:pPr>
    </w:p>
    <w:p w:rsidR="00802A94" w:rsidRPr="00025FE2" w:rsidRDefault="00802A94" w:rsidP="00A66E08">
      <w:pPr>
        <w:pStyle w:val="NoSpacing"/>
        <w:rPr>
          <w:rFonts w:ascii="Arial" w:hAnsi="Arial" w:cs="Arial"/>
          <w:b/>
          <w:color w:val="7030A0"/>
          <w:sz w:val="24"/>
          <w:szCs w:val="24"/>
        </w:rPr>
      </w:pPr>
      <w:r w:rsidRPr="00025FE2">
        <w:rPr>
          <w:rFonts w:ascii="Arial" w:hAnsi="Arial" w:cs="Arial"/>
          <w:b/>
          <w:color w:val="7030A0"/>
          <w:sz w:val="24"/>
          <w:szCs w:val="24"/>
        </w:rPr>
        <w:t>How will I be assessed?</w:t>
      </w:r>
    </w:p>
    <w:p w:rsidR="00BB029E" w:rsidRPr="00BB029E" w:rsidRDefault="00BB029E" w:rsidP="00A66E08">
      <w:pPr>
        <w:pStyle w:val="NoSpacing"/>
        <w:rPr>
          <w:rFonts w:ascii="Arial" w:hAnsi="Arial" w:cs="Arial"/>
          <w:color w:val="7030A0"/>
        </w:rPr>
      </w:pPr>
    </w:p>
    <w:p w:rsidR="00802A94" w:rsidRPr="00025FE2" w:rsidRDefault="00802A94" w:rsidP="00A66E08">
      <w:pPr>
        <w:pStyle w:val="NoSpacing"/>
        <w:rPr>
          <w:rFonts w:ascii="Arial" w:eastAsia="Arial" w:hAnsi="Arial" w:cs="Arial"/>
          <w:b/>
          <w:u w:val="single"/>
        </w:rPr>
      </w:pPr>
      <w:r w:rsidRPr="00025FE2">
        <w:rPr>
          <w:rFonts w:ascii="Arial" w:eastAsia="Arial" w:hAnsi="Arial" w:cs="Arial"/>
          <w:b/>
          <w:u w:val="single"/>
        </w:rPr>
        <w:t>Year 12:</w:t>
      </w:r>
    </w:p>
    <w:p w:rsidR="00802A94" w:rsidRPr="00A66E08" w:rsidRDefault="00802A94" w:rsidP="00025FE2">
      <w:pPr>
        <w:pStyle w:val="NoSpacing"/>
        <w:rPr>
          <w:rFonts w:ascii="Arial" w:eastAsia="Arial" w:hAnsi="Arial" w:cs="Arial"/>
        </w:rPr>
      </w:pPr>
      <w:r w:rsidRPr="00A66E08">
        <w:rPr>
          <w:rFonts w:ascii="Arial" w:hAnsi="Arial" w:cs="Arial"/>
        </w:rPr>
        <w:t xml:space="preserve">Unit 5: Infection control. </w:t>
      </w:r>
      <w:r w:rsidRPr="00A66E08">
        <w:rPr>
          <w:rFonts w:ascii="Arial" w:eastAsia="Arial" w:hAnsi="Arial" w:cs="Arial"/>
        </w:rPr>
        <w:t xml:space="preserve">Internally assessment: coursework, </w:t>
      </w:r>
      <w:r w:rsidRPr="00A66E08">
        <w:rPr>
          <w:rFonts w:ascii="Arial" w:hAnsi="Arial" w:cs="Arial"/>
        </w:rPr>
        <w:t xml:space="preserve">Unit 7: Safeguarding. External assessment: 90 minute written examination, Unit 14: Impact of long-term physiological conditions. </w:t>
      </w:r>
      <w:r w:rsidRPr="00A66E08">
        <w:rPr>
          <w:rFonts w:ascii="Arial" w:eastAsia="Arial" w:hAnsi="Arial" w:cs="Arial"/>
        </w:rPr>
        <w:t>Internally assessment: coursework.</w:t>
      </w:r>
    </w:p>
    <w:p w:rsidR="00802A94" w:rsidRPr="00025FE2" w:rsidRDefault="00802A94" w:rsidP="00025FE2">
      <w:pPr>
        <w:pStyle w:val="NoSpacing"/>
        <w:rPr>
          <w:rFonts w:ascii="Arial" w:hAnsi="Arial" w:cs="Arial"/>
          <w:b/>
          <w:u w:val="single"/>
        </w:rPr>
      </w:pPr>
      <w:r w:rsidRPr="00025FE2">
        <w:rPr>
          <w:rFonts w:ascii="Arial" w:hAnsi="Arial" w:cs="Arial"/>
          <w:b/>
          <w:u w:val="single"/>
        </w:rPr>
        <w:t>Year 13:</w:t>
      </w:r>
    </w:p>
    <w:p w:rsidR="00802A94" w:rsidRDefault="00802A94" w:rsidP="00025FE2">
      <w:pPr>
        <w:pStyle w:val="NoSpacing"/>
        <w:rPr>
          <w:rFonts w:ascii="Arial" w:eastAsia="Arial" w:hAnsi="Arial" w:cs="Arial"/>
        </w:rPr>
      </w:pPr>
      <w:r w:rsidRPr="00A66E08">
        <w:rPr>
          <w:rFonts w:ascii="Arial" w:hAnsi="Arial" w:cs="Arial"/>
        </w:rPr>
        <w:t xml:space="preserve">Unit 6: Personalisation &amp; a person-centred approach to care. External assessment: 90 minute written examination, Unit 8: Creativity &amp; activity for children. </w:t>
      </w:r>
      <w:r w:rsidRPr="00A66E08">
        <w:rPr>
          <w:rFonts w:ascii="Arial" w:eastAsia="Arial" w:hAnsi="Arial" w:cs="Arial"/>
        </w:rPr>
        <w:t xml:space="preserve">Internally assessment: coursework, </w:t>
      </w:r>
      <w:r w:rsidRPr="00A66E08">
        <w:rPr>
          <w:rFonts w:ascii="Arial" w:hAnsi="Arial" w:cs="Arial"/>
        </w:rPr>
        <w:t xml:space="preserve">Unit 15: Promoting health &amp; wellbeing. </w:t>
      </w:r>
      <w:r w:rsidRPr="00A66E08">
        <w:rPr>
          <w:rFonts w:ascii="Arial" w:eastAsia="Arial" w:hAnsi="Arial" w:cs="Arial"/>
        </w:rPr>
        <w:t>Internally assessment: coursework.</w:t>
      </w:r>
    </w:p>
    <w:p w:rsidR="00A66E08" w:rsidRPr="00A66E08" w:rsidRDefault="00A66E08" w:rsidP="00A66E08">
      <w:pPr>
        <w:pStyle w:val="NoSpacing"/>
        <w:rPr>
          <w:rFonts w:ascii="Arial" w:hAnsi="Arial" w:cs="Arial"/>
        </w:rPr>
      </w:pPr>
    </w:p>
    <w:p w:rsidR="00802A94" w:rsidRPr="00025FE2" w:rsidRDefault="00802A94" w:rsidP="00A66E08">
      <w:pPr>
        <w:pStyle w:val="NoSpacing"/>
        <w:rPr>
          <w:rFonts w:ascii="Arial" w:hAnsi="Arial" w:cs="Arial"/>
          <w:b/>
          <w:color w:val="7030A0"/>
          <w:sz w:val="24"/>
          <w:szCs w:val="24"/>
        </w:rPr>
      </w:pPr>
      <w:r w:rsidRPr="00025FE2">
        <w:rPr>
          <w:rFonts w:ascii="Arial" w:hAnsi="Arial" w:cs="Arial"/>
          <w:b/>
          <w:color w:val="7030A0"/>
          <w:sz w:val="24"/>
          <w:szCs w:val="24"/>
        </w:rPr>
        <w:t>Where Next?</w:t>
      </w:r>
    </w:p>
    <w:p w:rsidR="00A66E08" w:rsidRPr="00A66E08" w:rsidRDefault="00A66E08" w:rsidP="00A66E08">
      <w:pPr>
        <w:pStyle w:val="NoSpacing"/>
        <w:rPr>
          <w:rFonts w:ascii="Arial" w:hAnsi="Arial" w:cs="Arial"/>
        </w:rPr>
      </w:pPr>
    </w:p>
    <w:p w:rsidR="00920A59" w:rsidRPr="007A6EA9" w:rsidRDefault="00802A94" w:rsidP="00025FE2">
      <w:pPr>
        <w:pStyle w:val="NoSpacing"/>
        <w:rPr>
          <w:rFonts w:ascii="Arial" w:hAnsi="Arial" w:cs="Arial"/>
        </w:rPr>
      </w:pPr>
      <w:r w:rsidRPr="00A66E08">
        <w:rPr>
          <w:rFonts w:ascii="Arial" w:hAnsi="Arial" w:cs="Arial"/>
        </w:rPr>
        <w:t xml:space="preserve">This specification provides a suitable foundation for the study of health and social care or a related area through a range of higher education courses, progression to the next level of vocational qualifications or employment. In addition, the specification provides a coherent, satisfying and worthwhile course of study for learners who do not progress to further study in this subject. Students studying health and social care can move successfully on to courses in nursing, midwifery, psychology, sociology, criminology, law and police studies, social work, teaching and human resources and many others. These can be studied via the usual apprenticeship or university route.    </w:t>
      </w:r>
    </w:p>
    <w:sectPr w:rsidR="00920A59" w:rsidRPr="007A6EA9"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200E0"/>
    <w:rsid w:val="00025FE2"/>
    <w:rsid w:val="00083979"/>
    <w:rsid w:val="000C3040"/>
    <w:rsid w:val="00111B27"/>
    <w:rsid w:val="0014142F"/>
    <w:rsid w:val="00171224"/>
    <w:rsid w:val="00182917"/>
    <w:rsid w:val="002027BA"/>
    <w:rsid w:val="00217CED"/>
    <w:rsid w:val="002202CE"/>
    <w:rsid w:val="00231BCD"/>
    <w:rsid w:val="00234FAB"/>
    <w:rsid w:val="00241C84"/>
    <w:rsid w:val="002466B0"/>
    <w:rsid w:val="00246F52"/>
    <w:rsid w:val="00247B45"/>
    <w:rsid w:val="00286523"/>
    <w:rsid w:val="002B2DF2"/>
    <w:rsid w:val="003052BD"/>
    <w:rsid w:val="003766B6"/>
    <w:rsid w:val="003E5C7C"/>
    <w:rsid w:val="00410609"/>
    <w:rsid w:val="00481B04"/>
    <w:rsid w:val="00496092"/>
    <w:rsid w:val="004A7534"/>
    <w:rsid w:val="004B22D4"/>
    <w:rsid w:val="004C4ABC"/>
    <w:rsid w:val="005026EA"/>
    <w:rsid w:val="005755F9"/>
    <w:rsid w:val="00585BF5"/>
    <w:rsid w:val="005901AC"/>
    <w:rsid w:val="00590C5A"/>
    <w:rsid w:val="005A097F"/>
    <w:rsid w:val="005E02DD"/>
    <w:rsid w:val="005F0B0A"/>
    <w:rsid w:val="006028FA"/>
    <w:rsid w:val="00606B07"/>
    <w:rsid w:val="006153BE"/>
    <w:rsid w:val="00657211"/>
    <w:rsid w:val="00692269"/>
    <w:rsid w:val="006B1681"/>
    <w:rsid w:val="006F7319"/>
    <w:rsid w:val="007138B0"/>
    <w:rsid w:val="00731422"/>
    <w:rsid w:val="00764FA2"/>
    <w:rsid w:val="007A6EA9"/>
    <w:rsid w:val="007D3A66"/>
    <w:rsid w:val="007F7894"/>
    <w:rsid w:val="00802A94"/>
    <w:rsid w:val="00853940"/>
    <w:rsid w:val="00873FD8"/>
    <w:rsid w:val="00883D2C"/>
    <w:rsid w:val="008873C7"/>
    <w:rsid w:val="00896AF5"/>
    <w:rsid w:val="008A781B"/>
    <w:rsid w:val="008D7437"/>
    <w:rsid w:val="008E46A8"/>
    <w:rsid w:val="008F3679"/>
    <w:rsid w:val="00920A59"/>
    <w:rsid w:val="00930E1C"/>
    <w:rsid w:val="0094629F"/>
    <w:rsid w:val="00950BC0"/>
    <w:rsid w:val="0099320D"/>
    <w:rsid w:val="009A08F8"/>
    <w:rsid w:val="009D19F0"/>
    <w:rsid w:val="00A03109"/>
    <w:rsid w:val="00A66E08"/>
    <w:rsid w:val="00AA4658"/>
    <w:rsid w:val="00AB10BA"/>
    <w:rsid w:val="00B373CE"/>
    <w:rsid w:val="00B725BE"/>
    <w:rsid w:val="00B95681"/>
    <w:rsid w:val="00BB029E"/>
    <w:rsid w:val="00BB1B21"/>
    <w:rsid w:val="00BF608A"/>
    <w:rsid w:val="00C2068D"/>
    <w:rsid w:val="00C217A4"/>
    <w:rsid w:val="00C219BB"/>
    <w:rsid w:val="00C32178"/>
    <w:rsid w:val="00C354D7"/>
    <w:rsid w:val="00C8682B"/>
    <w:rsid w:val="00CA2EB1"/>
    <w:rsid w:val="00CB63A8"/>
    <w:rsid w:val="00CC4479"/>
    <w:rsid w:val="00CD2ACD"/>
    <w:rsid w:val="00D206B7"/>
    <w:rsid w:val="00D8349A"/>
    <w:rsid w:val="00D914A2"/>
    <w:rsid w:val="00DA12B1"/>
    <w:rsid w:val="00DD2ADF"/>
    <w:rsid w:val="00E3524E"/>
    <w:rsid w:val="00E53997"/>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5098"/>
  <w15:docId w15:val="{00831ABA-6824-4619-BE9C-008B655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1F18-74CB-476D-923F-EC7D65DE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18</cp:revision>
  <cp:lastPrinted>2019-11-06T11:53:00Z</cp:lastPrinted>
  <dcterms:created xsi:type="dcterms:W3CDTF">2020-10-08T11:42:00Z</dcterms:created>
  <dcterms:modified xsi:type="dcterms:W3CDTF">2023-09-21T09:56:00Z</dcterms:modified>
</cp:coreProperties>
</file>