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1F56" w14:textId="77777777" w:rsidR="00805019" w:rsidRDefault="00ED2E56" w:rsidP="00805019">
      <w:pPr>
        <w:rPr>
          <w:rFonts w:ascii="Arial" w:eastAsia="Calibri" w:hAnsi="Arial" w:cs="Arial"/>
          <w:i/>
          <w:iCs/>
          <w:sz w:val="56"/>
          <w:szCs w:val="56"/>
        </w:rPr>
      </w:pPr>
      <w:r w:rsidRPr="002D5002">
        <w:rPr>
          <w:rFonts w:ascii="Arial" w:eastAsia="Calibri" w:hAnsi="Arial" w:cs="Arial"/>
          <w:i/>
          <w:noProof/>
        </w:rPr>
        <w:drawing>
          <wp:anchor distT="0" distB="0" distL="114300" distR="114300" simplePos="0" relativeHeight="251658240" behindDoc="1" locked="0" layoutInCell="1" allowOverlap="1" wp14:anchorId="24EB488F" wp14:editId="714B5530">
            <wp:simplePos x="0" y="0"/>
            <wp:positionH relativeFrom="page">
              <wp:posOffset>412750</wp:posOffset>
            </wp:positionH>
            <wp:positionV relativeFrom="paragraph">
              <wp:posOffset>33020</wp:posOffset>
            </wp:positionV>
            <wp:extent cx="2127250" cy="2241550"/>
            <wp:effectExtent l="0" t="0" r="6350" b="6350"/>
            <wp:wrapTight wrapText="bothSides">
              <wp:wrapPolygon edited="0">
                <wp:start x="0" y="0"/>
                <wp:lineTo x="0" y="21478"/>
                <wp:lineTo x="21471" y="21478"/>
                <wp:lineTo x="21471" y="0"/>
                <wp:lineTo x="0" y="0"/>
              </wp:wrapPolygon>
            </wp:wrapTight>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127250" cy="2241550"/>
                    </a:xfrm>
                    <a:prstGeom prst="rect">
                      <a:avLst/>
                    </a:prstGeom>
                    <a:ln/>
                  </pic:spPr>
                </pic:pic>
              </a:graphicData>
            </a:graphic>
            <wp14:sizeRelH relativeFrom="margin">
              <wp14:pctWidth>0</wp14:pctWidth>
            </wp14:sizeRelH>
            <wp14:sizeRelV relativeFrom="margin">
              <wp14:pctHeight>0</wp14:pctHeight>
            </wp14:sizeRelV>
          </wp:anchor>
        </w:drawing>
      </w:r>
      <w:r w:rsidR="003E2796" w:rsidRPr="002D5002">
        <w:rPr>
          <w:rFonts w:ascii="Arial" w:eastAsia="Calibri" w:hAnsi="Arial" w:cs="Arial"/>
          <w:i/>
          <w:noProof/>
        </w:rPr>
        <mc:AlternateContent>
          <mc:Choice Requires="wps">
            <w:drawing>
              <wp:anchor distT="0" distB="0" distL="114300" distR="114300" simplePos="0" relativeHeight="251660288" behindDoc="0" locked="0" layoutInCell="1" allowOverlap="1" wp14:anchorId="11644712" wp14:editId="4F0732BD">
                <wp:simplePos x="0" y="0"/>
                <wp:positionH relativeFrom="column">
                  <wp:posOffset>1485900</wp:posOffset>
                </wp:positionH>
                <wp:positionV relativeFrom="paragraph">
                  <wp:posOffset>52070</wp:posOffset>
                </wp:positionV>
                <wp:extent cx="12700" cy="217170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2700" cy="217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FFAA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7pt,4.1pt" to="118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" strokecolor="#5b9bd5 [3204]" strokeweight=".5pt">
                <v:stroke joinstyle="miter"/>
              </v:line>
            </w:pict>
          </mc:Fallback>
        </mc:AlternateContent>
      </w:r>
      <w:r w:rsidRPr="002D5002">
        <w:rPr>
          <w:rFonts w:ascii="Arial" w:eastAsia="Calibri" w:hAnsi="Arial" w:cs="Arial"/>
          <w:i/>
          <w:noProof/>
          <w:sz w:val="56"/>
          <w:szCs w:val="56"/>
        </w:rPr>
        <mc:AlternateContent>
          <mc:Choice Requires="wps">
            <w:drawing>
              <wp:anchor distT="0" distB="0" distL="114300" distR="114300" simplePos="0" relativeHeight="251659264" behindDoc="0" locked="0" layoutInCell="1" allowOverlap="1" wp14:anchorId="720C6819" wp14:editId="07777777">
                <wp:simplePos x="0" y="0"/>
                <wp:positionH relativeFrom="column">
                  <wp:posOffset>1809750</wp:posOffset>
                </wp:positionH>
                <wp:positionV relativeFrom="paragraph">
                  <wp:posOffset>196215</wp:posOffset>
                </wp:positionV>
                <wp:extent cx="50800" cy="25400"/>
                <wp:effectExtent l="0" t="0" r="25400" b="31750"/>
                <wp:wrapNone/>
                <wp:docPr id="1" name="Straight Connector 1"/>
                <wp:cNvGraphicFramePr/>
                <a:graphic xmlns:a="http://schemas.openxmlformats.org/drawingml/2006/main">
                  <a:graphicData uri="http://schemas.microsoft.com/office/word/2010/wordprocessingShape">
                    <wps:wsp>
                      <wps:cNvCnPr/>
                      <wps:spPr>
                        <a:xfrm flipH="1">
                          <a:off x="0" y="0"/>
                          <a:ext cx="508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31F739"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42.5pt,15.45pt" to="14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" strokecolor="#5b9bd5 [3204]" strokeweight=".5pt">
                <v:stroke joinstyle="miter"/>
              </v:line>
            </w:pict>
          </mc:Fallback>
        </mc:AlternateContent>
      </w:r>
    </w:p>
    <w:p w14:paraId="65077B0D" w14:textId="21FB73A8" w:rsidR="009F560E" w:rsidRPr="002D5002" w:rsidRDefault="00910B9C" w:rsidP="4ADC3C76">
      <w:pPr>
        <w:rPr>
          <w:rFonts w:ascii="Arial" w:eastAsia="Calibri" w:hAnsi="Arial" w:cs="Arial"/>
          <w:i/>
          <w:iCs/>
          <w:sz w:val="56"/>
          <w:szCs w:val="56"/>
        </w:rPr>
      </w:pPr>
      <w:r>
        <w:rPr>
          <w:rFonts w:ascii="Arial" w:eastAsia="Calibri" w:hAnsi="Arial" w:cs="Arial"/>
          <w:i/>
          <w:iCs/>
          <w:sz w:val="56"/>
          <w:szCs w:val="56"/>
        </w:rPr>
        <w:t xml:space="preserve">Display </w:t>
      </w:r>
      <w:r w:rsidR="00ED527E" w:rsidRPr="4ADC3C76">
        <w:rPr>
          <w:rFonts w:ascii="Arial" w:eastAsia="Calibri" w:hAnsi="Arial" w:cs="Arial"/>
          <w:i/>
          <w:iCs/>
          <w:sz w:val="56"/>
          <w:szCs w:val="56"/>
        </w:rPr>
        <w:t>Policy</w:t>
      </w:r>
    </w:p>
    <w:p w14:paraId="0A37501D" w14:textId="77777777" w:rsidR="009F560E" w:rsidRPr="002D5002" w:rsidRDefault="00DD61A9" w:rsidP="00DD61A9">
      <w:pPr>
        <w:tabs>
          <w:tab w:val="left" w:pos="5340"/>
        </w:tabs>
        <w:jc w:val="both"/>
        <w:rPr>
          <w:rFonts w:ascii="Arial" w:eastAsia="Calibri" w:hAnsi="Arial" w:cs="Arial"/>
          <w:i/>
        </w:rPr>
      </w:pPr>
      <w:r w:rsidRPr="002D5002">
        <w:rPr>
          <w:rFonts w:ascii="Arial" w:eastAsia="Calibri" w:hAnsi="Arial" w:cs="Arial"/>
          <w:i/>
        </w:rPr>
        <w:tab/>
      </w:r>
    </w:p>
    <w:p w14:paraId="437406FD" w14:textId="55375AD9" w:rsidR="00805019" w:rsidRPr="00805019" w:rsidRDefault="00805019" w:rsidP="00805019">
      <w:pPr>
        <w:rPr>
          <w:rFonts w:ascii="Arial" w:hAnsi="Arial" w:cs="Arial"/>
        </w:rPr>
      </w:pPr>
      <w:r w:rsidRPr="00805019">
        <w:rPr>
          <w:rFonts w:ascii="Arial" w:hAnsi="Arial" w:cs="Arial"/>
          <w:bCs/>
        </w:rPr>
        <w:t>C</w:t>
      </w:r>
      <w:r w:rsidRPr="00805019">
        <w:rPr>
          <w:rFonts w:ascii="Arial" w:hAnsi="Arial" w:cs="Arial"/>
        </w:rPr>
        <w:t>urrent revision:</w:t>
      </w:r>
      <w:r w:rsidRPr="00805019">
        <w:rPr>
          <w:rFonts w:ascii="Arial" w:hAnsi="Arial" w:cs="Arial"/>
        </w:rPr>
        <w:tab/>
      </w:r>
      <w:r w:rsidRPr="00805019">
        <w:rPr>
          <w:rFonts w:ascii="Arial" w:hAnsi="Arial" w:cs="Arial"/>
        </w:rPr>
        <w:tab/>
      </w:r>
      <w:r w:rsidR="00041E71">
        <w:rPr>
          <w:rFonts w:ascii="Arial" w:hAnsi="Arial" w:cs="Arial"/>
        </w:rPr>
        <w:t>January 2026</w:t>
      </w:r>
    </w:p>
    <w:p w14:paraId="553CF9FE" w14:textId="08EB59C1" w:rsidR="00805019" w:rsidRPr="00805019" w:rsidRDefault="00805019" w:rsidP="00805019">
      <w:pPr>
        <w:rPr>
          <w:rFonts w:ascii="Arial" w:hAnsi="Arial" w:cs="Arial"/>
        </w:rPr>
      </w:pPr>
      <w:r w:rsidRPr="00805019">
        <w:rPr>
          <w:rFonts w:ascii="Arial" w:hAnsi="Arial" w:cs="Arial"/>
        </w:rPr>
        <w:t>Further revision:</w:t>
      </w:r>
      <w:r w:rsidRPr="00805019">
        <w:rPr>
          <w:rFonts w:ascii="Arial" w:hAnsi="Arial" w:cs="Arial"/>
        </w:rPr>
        <w:tab/>
      </w:r>
      <w:r w:rsidRPr="00805019">
        <w:rPr>
          <w:rFonts w:ascii="Arial" w:hAnsi="Arial" w:cs="Arial"/>
        </w:rPr>
        <w:tab/>
      </w:r>
      <w:r w:rsidR="00041E71">
        <w:rPr>
          <w:rFonts w:ascii="Arial" w:hAnsi="Arial" w:cs="Arial"/>
        </w:rPr>
        <w:t>July 2026</w:t>
      </w:r>
    </w:p>
    <w:p w14:paraId="1F4F5633" w14:textId="47DEFACF" w:rsidR="00805019" w:rsidRPr="00805019" w:rsidRDefault="00805019" w:rsidP="00805019">
      <w:pPr>
        <w:rPr>
          <w:rFonts w:ascii="Arial" w:hAnsi="Arial" w:cs="Arial"/>
        </w:rPr>
      </w:pPr>
      <w:r w:rsidRPr="4ADC3C76">
        <w:rPr>
          <w:rFonts w:ascii="Arial" w:hAnsi="Arial" w:cs="Arial"/>
        </w:rPr>
        <w:t xml:space="preserve">Delegated to:  </w:t>
      </w:r>
      <w:r>
        <w:tab/>
      </w:r>
      <w:r>
        <w:tab/>
      </w:r>
      <w:r w:rsidR="00041E71">
        <w:tab/>
      </w:r>
      <w:r w:rsidRPr="4ADC3C76">
        <w:rPr>
          <w:rFonts w:ascii="Arial" w:hAnsi="Arial" w:cs="Arial"/>
        </w:rPr>
        <w:t>SLT</w:t>
      </w:r>
    </w:p>
    <w:p w14:paraId="41AA9C99" w14:textId="5048ABCB" w:rsidR="00805019" w:rsidRPr="00805019" w:rsidRDefault="00805019" w:rsidP="00805019">
      <w:pPr>
        <w:rPr>
          <w:rFonts w:ascii="Arial" w:hAnsi="Arial" w:cs="Arial"/>
        </w:rPr>
      </w:pPr>
      <w:r w:rsidRPr="4ADC3C76">
        <w:rPr>
          <w:rFonts w:ascii="Arial" w:hAnsi="Arial" w:cs="Arial"/>
        </w:rPr>
        <w:t xml:space="preserve">Reviewer:      </w:t>
      </w:r>
      <w:r>
        <w:tab/>
      </w:r>
      <w:r>
        <w:tab/>
      </w:r>
      <w:r w:rsidR="00041E71">
        <w:tab/>
      </w:r>
      <w:r w:rsidRPr="4ADC3C76">
        <w:rPr>
          <w:rFonts w:ascii="Arial" w:hAnsi="Arial" w:cs="Arial"/>
        </w:rPr>
        <w:t xml:space="preserve">Helen Slater </w:t>
      </w:r>
    </w:p>
    <w:p w14:paraId="7F517E31" w14:textId="77777777" w:rsidR="003E2796" w:rsidRPr="00805019" w:rsidRDefault="00DD61A9" w:rsidP="00DD61A9">
      <w:pPr>
        <w:tabs>
          <w:tab w:val="left" w:pos="144"/>
          <w:tab w:val="left" w:pos="864"/>
          <w:tab w:val="left" w:pos="2304"/>
          <w:tab w:val="left" w:pos="3744"/>
          <w:tab w:val="left" w:pos="5184"/>
          <w:tab w:val="left" w:pos="6624"/>
          <w:tab w:val="left" w:pos="8064"/>
        </w:tabs>
        <w:rPr>
          <w:rFonts w:ascii="Arial" w:hAnsi="Arial" w:cs="Arial"/>
          <w:b/>
          <w:bCs/>
        </w:rPr>
      </w:pPr>
      <w:r w:rsidRPr="00805019">
        <w:rPr>
          <w:rFonts w:ascii="Arial" w:hAnsi="Arial" w:cs="Arial"/>
          <w:b/>
          <w:bCs/>
        </w:rPr>
        <w:t xml:space="preserve">                                    </w:t>
      </w:r>
    </w:p>
    <w:p w14:paraId="5DAB6C7B" w14:textId="77777777" w:rsidR="003E2796" w:rsidRPr="002D5002"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02EB378F" w14:textId="77777777" w:rsidR="003E2796" w:rsidRPr="002D5002"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6A05A809" w14:textId="77777777" w:rsidR="003E2796" w:rsidRPr="002D5002" w:rsidRDefault="003E2796" w:rsidP="00DD61A9">
      <w:pPr>
        <w:tabs>
          <w:tab w:val="left" w:pos="144"/>
          <w:tab w:val="left" w:pos="864"/>
          <w:tab w:val="left" w:pos="2304"/>
          <w:tab w:val="left" w:pos="3744"/>
          <w:tab w:val="left" w:pos="5184"/>
          <w:tab w:val="left" w:pos="6624"/>
          <w:tab w:val="left" w:pos="8064"/>
        </w:tabs>
        <w:rPr>
          <w:rFonts w:ascii="Arial" w:hAnsi="Arial" w:cs="Arial"/>
          <w:b/>
          <w:bCs/>
          <w:color w:val="FF0000"/>
        </w:rPr>
      </w:pPr>
    </w:p>
    <w:p w14:paraId="6E8F5140" w14:textId="77777777" w:rsidR="00DD61A9" w:rsidRPr="002D5002" w:rsidRDefault="00DD61A9" w:rsidP="00DD61A9">
      <w:pPr>
        <w:tabs>
          <w:tab w:val="left" w:pos="144"/>
          <w:tab w:val="left" w:pos="864"/>
          <w:tab w:val="left" w:pos="2304"/>
          <w:tab w:val="left" w:pos="3744"/>
          <w:tab w:val="left" w:pos="5184"/>
          <w:tab w:val="left" w:pos="6624"/>
          <w:tab w:val="left" w:pos="8064"/>
        </w:tabs>
        <w:rPr>
          <w:rFonts w:ascii="Arial" w:hAnsi="Arial" w:cs="Arial"/>
          <w:b/>
          <w:bCs/>
          <w:color w:val="0070C0"/>
          <w:u w:val="single"/>
        </w:rPr>
      </w:pPr>
      <w:r w:rsidRPr="002D5002">
        <w:rPr>
          <w:rFonts w:ascii="Arial" w:hAnsi="Arial" w:cs="Arial"/>
          <w:b/>
          <w:bCs/>
          <w:color w:val="0070C0"/>
          <w:u w:val="single"/>
        </w:rPr>
        <w:t>Mission Statement</w:t>
      </w:r>
    </w:p>
    <w:p w14:paraId="0492FE0F" w14:textId="77777777" w:rsidR="00DD61A9" w:rsidRPr="002D5002" w:rsidRDefault="00DD61A9" w:rsidP="00DD61A9">
      <w:pPr>
        <w:tabs>
          <w:tab w:val="left" w:pos="1152"/>
          <w:tab w:val="left" w:pos="1872"/>
          <w:tab w:val="left" w:pos="3312"/>
          <w:tab w:val="left" w:pos="4752"/>
          <w:tab w:val="left" w:pos="6192"/>
          <w:tab w:val="left" w:pos="7632"/>
          <w:tab w:val="left" w:pos="9072"/>
        </w:tabs>
        <w:ind w:right="-25"/>
        <w:jc w:val="both"/>
        <w:rPr>
          <w:rFonts w:ascii="Arial" w:hAnsi="Arial" w:cs="Arial"/>
        </w:rPr>
      </w:pPr>
      <w:r w:rsidRPr="002D5002">
        <w:rPr>
          <w:rFonts w:ascii="Arial" w:hAnsi="Arial" w:cs="Arial"/>
        </w:rPr>
        <w:t>Botwell House Catholic Primary School is distinguished by the care, courtesy and concern extended to all its members, regardless of cultural differences and strives to follow the teachings of Jesus Christ to:</w:t>
      </w:r>
    </w:p>
    <w:p w14:paraId="4B0AED2A" w14:textId="77777777" w:rsidR="00DD61A9" w:rsidRPr="002D5002" w:rsidRDefault="00DD61A9" w:rsidP="00DD61A9">
      <w:pPr>
        <w:pStyle w:val="Heading6"/>
        <w:jc w:val="center"/>
        <w:rPr>
          <w:rFonts w:ascii="Arial" w:hAnsi="Arial" w:cs="Arial"/>
          <w:bCs/>
          <w:i/>
          <w:iCs/>
          <w:color w:val="2E74B5" w:themeColor="accent1" w:themeShade="BF"/>
          <w:sz w:val="28"/>
          <w:szCs w:val="24"/>
        </w:rPr>
      </w:pPr>
      <w:r w:rsidRPr="002D5002">
        <w:rPr>
          <w:rFonts w:ascii="Arial" w:hAnsi="Arial" w:cs="Arial"/>
          <w:bCs/>
          <w:i/>
          <w:iCs/>
          <w:color w:val="2E74B5" w:themeColor="accent1" w:themeShade="BF"/>
          <w:sz w:val="28"/>
          <w:szCs w:val="24"/>
        </w:rPr>
        <w:t>“Love one another as I have loved you”</w:t>
      </w:r>
    </w:p>
    <w:p w14:paraId="5A39BBE3" w14:textId="77777777" w:rsidR="00DD61A9" w:rsidRPr="002D5002" w:rsidRDefault="00DD61A9" w:rsidP="00DD61A9">
      <w:pPr>
        <w:rPr>
          <w:rFonts w:ascii="Arial" w:hAnsi="Arial" w:cs="Arial"/>
          <w:sz w:val="4"/>
        </w:rPr>
      </w:pPr>
    </w:p>
    <w:p w14:paraId="4EAE8A98" w14:textId="77777777" w:rsidR="00DD61A9" w:rsidRPr="002D5002"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2D5002">
        <w:rPr>
          <w:rFonts w:ascii="Arial" w:hAnsi="Arial" w:cs="Arial"/>
        </w:rPr>
        <w:t>Through a</w:t>
      </w:r>
      <w:r w:rsidR="00ED527E" w:rsidRPr="002D5002">
        <w:rPr>
          <w:rFonts w:ascii="Arial" w:hAnsi="Arial" w:cs="Arial"/>
        </w:rPr>
        <w:t>n</w:t>
      </w:r>
      <w:r w:rsidRPr="002D5002">
        <w:rPr>
          <w:rFonts w:ascii="Arial" w:hAnsi="Arial" w:cs="Arial"/>
        </w:rPr>
        <w:t xml:space="preserve"> </w:t>
      </w:r>
      <w:r w:rsidR="00ED527E" w:rsidRPr="002D5002">
        <w:rPr>
          <w:rFonts w:ascii="Arial" w:hAnsi="Arial" w:cs="Arial"/>
        </w:rPr>
        <w:t xml:space="preserve">effective </w:t>
      </w:r>
      <w:r w:rsidRPr="002D5002">
        <w:rPr>
          <w:rFonts w:ascii="Arial" w:hAnsi="Arial" w:cs="Arial"/>
        </w:rPr>
        <w:t>partnership between home, school and parish and through a broad and balanced curriculum, each valued individual is encouraged to grow in their journey of faith and strive towards excellence.</w:t>
      </w:r>
    </w:p>
    <w:p w14:paraId="41C8F396" w14:textId="77777777" w:rsidR="00DD61A9" w:rsidRPr="002D5002"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14:paraId="71D9962E" w14:textId="77777777" w:rsidR="00DD61A9" w:rsidRPr="002D5002"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2D5002">
        <w:rPr>
          <w:rFonts w:ascii="Arial" w:hAnsi="Arial" w:cs="Arial"/>
        </w:rPr>
        <w:t>Botwell House Catholic Primary School seeks to ensure that all pupils receive a full-time education which maximises opportunities for each pupil to realise his/her potential.</w:t>
      </w:r>
    </w:p>
    <w:p w14:paraId="72A3D3EC" w14:textId="77777777" w:rsidR="001F5D12" w:rsidRPr="002D5002" w:rsidRDefault="001F5D12" w:rsidP="006E470E">
      <w:pPr>
        <w:rPr>
          <w:rFonts w:ascii="Arial" w:hAnsi="Arial" w:cs="Arial"/>
          <w:b/>
          <w:sz w:val="28"/>
        </w:rPr>
      </w:pPr>
    </w:p>
    <w:p w14:paraId="0D0B940D" w14:textId="77777777" w:rsidR="00ED2E56" w:rsidRPr="002D5002" w:rsidRDefault="00ED2E56" w:rsidP="006E470E">
      <w:pPr>
        <w:rPr>
          <w:rFonts w:ascii="Arial" w:hAnsi="Arial" w:cs="Arial"/>
          <w:b/>
          <w:sz w:val="28"/>
        </w:rPr>
      </w:pPr>
    </w:p>
    <w:p w14:paraId="406425CA" w14:textId="77777777" w:rsidR="006E470E" w:rsidRPr="002D5002" w:rsidRDefault="006E470E" w:rsidP="001F5D12">
      <w:pPr>
        <w:jc w:val="center"/>
        <w:rPr>
          <w:rFonts w:ascii="Arial" w:hAnsi="Arial" w:cs="Arial"/>
          <w:b/>
          <w:sz w:val="28"/>
        </w:rPr>
      </w:pPr>
      <w:r w:rsidRPr="002D5002">
        <w:rPr>
          <w:rFonts w:ascii="Arial" w:hAnsi="Arial" w:cs="Arial"/>
          <w:b/>
          <w:sz w:val="28"/>
        </w:rPr>
        <w:t>Contents</w:t>
      </w:r>
    </w:p>
    <w:p w14:paraId="0E27B00A" w14:textId="77777777" w:rsidR="001F5D12" w:rsidRPr="002D5002" w:rsidRDefault="001F5D12" w:rsidP="001F5D12">
      <w:pPr>
        <w:jc w:val="center"/>
        <w:rPr>
          <w:rFonts w:ascii="Arial" w:hAnsi="Arial" w:cs="Arial"/>
          <w:b/>
          <w:sz w:val="28"/>
        </w:rPr>
      </w:pPr>
    </w:p>
    <w:p w14:paraId="474FB058" w14:textId="6D07414F" w:rsidR="000531FD" w:rsidRPr="002D5002" w:rsidRDefault="006E470E">
      <w:pPr>
        <w:pStyle w:val="TOC1"/>
        <w:tabs>
          <w:tab w:val="left" w:pos="440"/>
        </w:tabs>
        <w:rPr>
          <w:rFonts w:eastAsiaTheme="minorEastAsia" w:cs="Arial"/>
          <w:noProof/>
          <w:szCs w:val="22"/>
          <w:lang w:eastAsia="en-GB"/>
        </w:rPr>
      </w:pPr>
      <w:r w:rsidRPr="002D5002">
        <w:rPr>
          <w:rFonts w:cs="Arial"/>
        </w:rPr>
        <w:fldChar w:fldCharType="begin"/>
      </w:r>
      <w:r w:rsidRPr="002D5002">
        <w:rPr>
          <w:rFonts w:cs="Arial"/>
        </w:rPr>
        <w:instrText xml:space="preserve"> TOC \o "2-2" \t "Heading 1,1" </w:instrText>
      </w:r>
      <w:r w:rsidRPr="002D5002">
        <w:rPr>
          <w:rFonts w:cs="Arial"/>
        </w:rPr>
        <w:fldChar w:fldCharType="separate"/>
      </w:r>
      <w:r w:rsidR="000531FD" w:rsidRPr="002D5002">
        <w:rPr>
          <w:rFonts w:eastAsia="Calibri" w:cs="Arial"/>
          <w:b/>
          <w:noProof/>
          <w:color w:val="1F3864"/>
        </w:rPr>
        <w:t>1.</w:t>
      </w:r>
      <w:r w:rsidR="000531FD" w:rsidRPr="002D5002">
        <w:rPr>
          <w:rFonts w:eastAsiaTheme="minorEastAsia" w:cs="Arial"/>
          <w:noProof/>
          <w:szCs w:val="22"/>
          <w:lang w:eastAsia="en-GB"/>
        </w:rPr>
        <w:tab/>
      </w:r>
      <w:r w:rsidR="000531FD" w:rsidRPr="002D5002">
        <w:rPr>
          <w:rFonts w:eastAsia="Calibri" w:cs="Arial"/>
          <w:b/>
          <w:noProof/>
          <w:color w:val="1F3864"/>
        </w:rPr>
        <w:t>Aims</w:t>
      </w:r>
      <w:r w:rsidR="000531FD" w:rsidRPr="002D5002">
        <w:rPr>
          <w:rFonts w:eastAsia="Calibri" w:cs="Arial"/>
          <w:noProof/>
          <w:color w:val="000000"/>
        </w:rPr>
        <w:t>:</w:t>
      </w:r>
      <w:r w:rsidR="000531FD" w:rsidRPr="002D5002">
        <w:rPr>
          <w:rFonts w:cs="Arial"/>
          <w:noProof/>
        </w:rPr>
        <w:tab/>
      </w:r>
      <w:r w:rsidR="000531FD" w:rsidRPr="002D5002">
        <w:rPr>
          <w:rFonts w:cs="Arial"/>
          <w:noProof/>
        </w:rPr>
        <w:fldChar w:fldCharType="begin"/>
      </w:r>
      <w:r w:rsidR="000531FD" w:rsidRPr="002D5002">
        <w:rPr>
          <w:rFonts w:cs="Arial"/>
          <w:noProof/>
        </w:rPr>
        <w:instrText xml:space="preserve"> PAGEREF _Toc181879415 \h </w:instrText>
      </w:r>
      <w:r w:rsidR="000531FD" w:rsidRPr="002D5002">
        <w:rPr>
          <w:rFonts w:cs="Arial"/>
          <w:noProof/>
        </w:rPr>
      </w:r>
      <w:r w:rsidR="000531FD" w:rsidRPr="002D5002">
        <w:rPr>
          <w:rFonts w:cs="Arial"/>
          <w:noProof/>
        </w:rPr>
        <w:fldChar w:fldCharType="separate"/>
      </w:r>
      <w:r w:rsidR="002F596F">
        <w:rPr>
          <w:rFonts w:cs="Arial"/>
          <w:noProof/>
        </w:rPr>
        <w:t>2</w:t>
      </w:r>
      <w:r w:rsidR="000531FD" w:rsidRPr="002D5002">
        <w:rPr>
          <w:rFonts w:cs="Arial"/>
          <w:noProof/>
        </w:rPr>
        <w:fldChar w:fldCharType="end"/>
      </w:r>
    </w:p>
    <w:p w14:paraId="69004C72" w14:textId="148EDA5D"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2.</w:t>
      </w:r>
      <w:r w:rsidRPr="002D5002">
        <w:rPr>
          <w:rFonts w:eastAsiaTheme="minorEastAsia" w:cs="Arial"/>
          <w:noProof/>
          <w:szCs w:val="22"/>
          <w:lang w:eastAsia="en-GB"/>
        </w:rPr>
        <w:tab/>
      </w:r>
      <w:r w:rsidRPr="002D5002">
        <w:rPr>
          <w:rFonts w:eastAsia="Calibri" w:cs="Arial"/>
          <w:b/>
          <w:noProof/>
          <w:color w:val="1F3864"/>
        </w:rPr>
        <w:t>Legislation and statutory guidance</w:t>
      </w:r>
      <w:r w:rsidRPr="002D5002">
        <w:rPr>
          <w:rFonts w:eastAsia="Calibri" w:cs="Arial"/>
          <w:noProof/>
          <w:color w:val="000000"/>
        </w:rPr>
        <w:t>:</w:t>
      </w:r>
      <w:r w:rsidRPr="002D5002">
        <w:rPr>
          <w:rFonts w:cs="Arial"/>
          <w:noProof/>
        </w:rPr>
        <w:tab/>
      </w:r>
      <w:r w:rsidRPr="002D5002">
        <w:rPr>
          <w:rFonts w:cs="Arial"/>
          <w:noProof/>
        </w:rPr>
        <w:fldChar w:fldCharType="begin"/>
      </w:r>
      <w:r w:rsidRPr="002D5002">
        <w:rPr>
          <w:rFonts w:cs="Arial"/>
          <w:noProof/>
        </w:rPr>
        <w:instrText xml:space="preserve"> PAGEREF _Toc181879416 \h </w:instrText>
      </w:r>
      <w:r w:rsidRPr="002D5002">
        <w:rPr>
          <w:rFonts w:cs="Arial"/>
          <w:noProof/>
        </w:rPr>
      </w:r>
      <w:r w:rsidRPr="002D5002">
        <w:rPr>
          <w:rFonts w:cs="Arial"/>
          <w:noProof/>
        </w:rPr>
        <w:fldChar w:fldCharType="separate"/>
      </w:r>
      <w:r w:rsidR="002F596F">
        <w:rPr>
          <w:rFonts w:cs="Arial"/>
          <w:noProof/>
        </w:rPr>
        <w:t>2</w:t>
      </w:r>
      <w:r w:rsidRPr="002D5002">
        <w:rPr>
          <w:rFonts w:cs="Arial"/>
          <w:noProof/>
        </w:rPr>
        <w:fldChar w:fldCharType="end"/>
      </w:r>
    </w:p>
    <w:p w14:paraId="0FC712A4" w14:textId="2805E90A"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3.</w:t>
      </w:r>
      <w:r w:rsidRPr="002D5002">
        <w:rPr>
          <w:rFonts w:eastAsiaTheme="minorEastAsia" w:cs="Arial"/>
          <w:noProof/>
          <w:szCs w:val="22"/>
          <w:lang w:eastAsia="en-GB"/>
        </w:rPr>
        <w:tab/>
      </w:r>
      <w:r w:rsidRPr="002D5002">
        <w:rPr>
          <w:rFonts w:eastAsia="Calibri" w:cs="Arial"/>
          <w:b/>
          <w:noProof/>
          <w:color w:val="1F3864"/>
        </w:rPr>
        <w:t>Roles and responsibilities</w:t>
      </w:r>
      <w:r w:rsidRPr="002D5002">
        <w:rPr>
          <w:rFonts w:eastAsia="Calibri" w:cs="Arial"/>
          <w:noProof/>
          <w:color w:val="000000"/>
        </w:rPr>
        <w:t>:</w:t>
      </w:r>
      <w:r w:rsidRPr="002D5002">
        <w:rPr>
          <w:rFonts w:cs="Arial"/>
          <w:noProof/>
        </w:rPr>
        <w:tab/>
      </w:r>
      <w:r w:rsidRPr="002D5002">
        <w:rPr>
          <w:rFonts w:cs="Arial"/>
          <w:noProof/>
        </w:rPr>
        <w:fldChar w:fldCharType="begin"/>
      </w:r>
      <w:r w:rsidRPr="002D5002">
        <w:rPr>
          <w:rFonts w:cs="Arial"/>
          <w:noProof/>
        </w:rPr>
        <w:instrText xml:space="preserve"> PAGEREF _Toc181879417 \h </w:instrText>
      </w:r>
      <w:r w:rsidRPr="002D5002">
        <w:rPr>
          <w:rFonts w:cs="Arial"/>
          <w:noProof/>
        </w:rPr>
      </w:r>
      <w:r w:rsidRPr="002D5002">
        <w:rPr>
          <w:rFonts w:cs="Arial"/>
          <w:noProof/>
        </w:rPr>
        <w:fldChar w:fldCharType="separate"/>
      </w:r>
      <w:r w:rsidR="002F596F">
        <w:rPr>
          <w:rFonts w:cs="Arial"/>
          <w:noProof/>
        </w:rPr>
        <w:t>2</w:t>
      </w:r>
      <w:r w:rsidRPr="002D5002">
        <w:rPr>
          <w:rFonts w:cs="Arial"/>
          <w:noProof/>
        </w:rPr>
        <w:fldChar w:fldCharType="end"/>
      </w:r>
    </w:p>
    <w:p w14:paraId="66BC16E1" w14:textId="31149B0D"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4.</w:t>
      </w:r>
      <w:r w:rsidRPr="002D5002">
        <w:rPr>
          <w:rFonts w:eastAsiaTheme="minorEastAsia" w:cs="Arial"/>
          <w:noProof/>
          <w:szCs w:val="22"/>
          <w:lang w:eastAsia="en-GB"/>
        </w:rPr>
        <w:tab/>
      </w:r>
      <w:r w:rsidRPr="002D5002">
        <w:rPr>
          <w:rFonts w:eastAsia="Calibri" w:cs="Arial"/>
          <w:b/>
          <w:noProof/>
          <w:color w:val="1F3864"/>
        </w:rPr>
        <w:t>Recording attendance</w:t>
      </w:r>
      <w:r w:rsidRPr="002D5002">
        <w:rPr>
          <w:rFonts w:cs="Arial"/>
          <w:noProof/>
        </w:rPr>
        <w:tab/>
      </w:r>
      <w:r w:rsidRPr="002D5002">
        <w:rPr>
          <w:rFonts w:cs="Arial"/>
          <w:noProof/>
        </w:rPr>
        <w:fldChar w:fldCharType="begin"/>
      </w:r>
      <w:r w:rsidRPr="002D5002">
        <w:rPr>
          <w:rFonts w:cs="Arial"/>
          <w:noProof/>
        </w:rPr>
        <w:instrText xml:space="preserve"> PAGEREF _Toc181879418 \h </w:instrText>
      </w:r>
      <w:r w:rsidRPr="002D5002">
        <w:rPr>
          <w:rFonts w:cs="Arial"/>
          <w:noProof/>
        </w:rPr>
      </w:r>
      <w:r w:rsidRPr="002D5002">
        <w:rPr>
          <w:rFonts w:cs="Arial"/>
          <w:noProof/>
        </w:rPr>
        <w:fldChar w:fldCharType="separate"/>
      </w:r>
      <w:r w:rsidR="002F596F">
        <w:rPr>
          <w:rFonts w:cs="Arial"/>
          <w:noProof/>
        </w:rPr>
        <w:t>6</w:t>
      </w:r>
      <w:r w:rsidRPr="002D5002">
        <w:rPr>
          <w:rFonts w:cs="Arial"/>
          <w:noProof/>
        </w:rPr>
        <w:fldChar w:fldCharType="end"/>
      </w:r>
    </w:p>
    <w:p w14:paraId="4ACD8254" w14:textId="076149BD"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5.</w:t>
      </w:r>
      <w:r w:rsidRPr="002D5002">
        <w:rPr>
          <w:rFonts w:eastAsiaTheme="minorEastAsia" w:cs="Arial"/>
          <w:noProof/>
          <w:szCs w:val="22"/>
          <w:lang w:eastAsia="en-GB"/>
        </w:rPr>
        <w:tab/>
      </w:r>
      <w:r w:rsidRPr="002D5002">
        <w:rPr>
          <w:rFonts w:eastAsia="Calibri" w:cs="Arial"/>
          <w:b/>
          <w:noProof/>
          <w:color w:val="1F3864"/>
        </w:rPr>
        <w:t>Authorised and unauthorised absence</w:t>
      </w:r>
      <w:r w:rsidRPr="002D5002">
        <w:rPr>
          <w:rFonts w:cs="Arial"/>
          <w:noProof/>
        </w:rPr>
        <w:tab/>
      </w:r>
      <w:r w:rsidRPr="002D5002">
        <w:rPr>
          <w:rFonts w:cs="Arial"/>
          <w:noProof/>
        </w:rPr>
        <w:fldChar w:fldCharType="begin"/>
      </w:r>
      <w:r w:rsidRPr="002D5002">
        <w:rPr>
          <w:rFonts w:cs="Arial"/>
          <w:noProof/>
        </w:rPr>
        <w:instrText xml:space="preserve"> PAGEREF _Toc181879419 \h </w:instrText>
      </w:r>
      <w:r w:rsidRPr="002D5002">
        <w:rPr>
          <w:rFonts w:cs="Arial"/>
          <w:noProof/>
        </w:rPr>
      </w:r>
      <w:r w:rsidRPr="002D5002">
        <w:rPr>
          <w:rFonts w:cs="Arial"/>
          <w:noProof/>
        </w:rPr>
        <w:fldChar w:fldCharType="separate"/>
      </w:r>
      <w:r w:rsidR="002F596F">
        <w:rPr>
          <w:rFonts w:cs="Arial"/>
          <w:noProof/>
        </w:rPr>
        <w:t>8</w:t>
      </w:r>
      <w:r w:rsidRPr="002D5002">
        <w:rPr>
          <w:rFonts w:cs="Arial"/>
          <w:noProof/>
        </w:rPr>
        <w:fldChar w:fldCharType="end"/>
      </w:r>
    </w:p>
    <w:p w14:paraId="36DFE709" w14:textId="231966ED"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6.</w:t>
      </w:r>
      <w:r w:rsidRPr="002D5002">
        <w:rPr>
          <w:rFonts w:eastAsiaTheme="minorEastAsia" w:cs="Arial"/>
          <w:noProof/>
          <w:szCs w:val="22"/>
          <w:lang w:eastAsia="en-GB"/>
        </w:rPr>
        <w:tab/>
      </w:r>
      <w:r w:rsidRPr="002D5002">
        <w:rPr>
          <w:rFonts w:eastAsia="Calibri" w:cs="Arial"/>
          <w:b/>
          <w:noProof/>
          <w:color w:val="1F3864"/>
        </w:rPr>
        <w:t>Strategies for promoting attendance</w:t>
      </w:r>
      <w:r w:rsidRPr="002D5002">
        <w:rPr>
          <w:rFonts w:cs="Arial"/>
          <w:noProof/>
        </w:rPr>
        <w:tab/>
      </w:r>
      <w:r w:rsidRPr="002D5002">
        <w:rPr>
          <w:rFonts w:cs="Arial"/>
          <w:noProof/>
        </w:rPr>
        <w:fldChar w:fldCharType="begin"/>
      </w:r>
      <w:r w:rsidRPr="002D5002">
        <w:rPr>
          <w:rFonts w:cs="Arial"/>
          <w:noProof/>
        </w:rPr>
        <w:instrText xml:space="preserve"> PAGEREF _Toc181879420 \h </w:instrText>
      </w:r>
      <w:r w:rsidRPr="002D5002">
        <w:rPr>
          <w:rFonts w:cs="Arial"/>
          <w:noProof/>
        </w:rPr>
      </w:r>
      <w:r w:rsidRPr="002D5002">
        <w:rPr>
          <w:rFonts w:cs="Arial"/>
          <w:noProof/>
        </w:rPr>
        <w:fldChar w:fldCharType="separate"/>
      </w:r>
      <w:r w:rsidR="002F596F">
        <w:rPr>
          <w:rFonts w:cs="Arial"/>
          <w:noProof/>
        </w:rPr>
        <w:t>10</w:t>
      </w:r>
      <w:r w:rsidRPr="002D5002">
        <w:rPr>
          <w:rFonts w:cs="Arial"/>
          <w:noProof/>
        </w:rPr>
        <w:fldChar w:fldCharType="end"/>
      </w:r>
    </w:p>
    <w:p w14:paraId="4FE0744C" w14:textId="10294662"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7.</w:t>
      </w:r>
      <w:r w:rsidRPr="002D5002">
        <w:rPr>
          <w:rFonts w:eastAsiaTheme="minorEastAsia" w:cs="Arial"/>
          <w:noProof/>
          <w:szCs w:val="22"/>
          <w:lang w:eastAsia="en-GB"/>
        </w:rPr>
        <w:tab/>
      </w:r>
      <w:r w:rsidRPr="002D5002">
        <w:rPr>
          <w:rFonts w:eastAsia="Calibri" w:cs="Arial"/>
          <w:b/>
          <w:noProof/>
          <w:color w:val="1F3864"/>
        </w:rPr>
        <w:t>Supporting pupils who are absent or returning to school</w:t>
      </w:r>
      <w:r w:rsidRPr="002D5002">
        <w:rPr>
          <w:rFonts w:cs="Arial"/>
          <w:noProof/>
        </w:rPr>
        <w:tab/>
      </w:r>
      <w:r w:rsidRPr="002D5002">
        <w:rPr>
          <w:rFonts w:cs="Arial"/>
          <w:noProof/>
        </w:rPr>
        <w:fldChar w:fldCharType="begin"/>
      </w:r>
      <w:r w:rsidRPr="002D5002">
        <w:rPr>
          <w:rFonts w:cs="Arial"/>
          <w:noProof/>
        </w:rPr>
        <w:instrText xml:space="preserve"> PAGEREF _Toc181879421 \h </w:instrText>
      </w:r>
      <w:r w:rsidRPr="002D5002">
        <w:rPr>
          <w:rFonts w:cs="Arial"/>
          <w:noProof/>
        </w:rPr>
      </w:r>
      <w:r w:rsidRPr="002D5002">
        <w:rPr>
          <w:rFonts w:cs="Arial"/>
          <w:noProof/>
        </w:rPr>
        <w:fldChar w:fldCharType="separate"/>
      </w:r>
      <w:r w:rsidR="002F596F">
        <w:rPr>
          <w:rFonts w:cs="Arial"/>
          <w:noProof/>
        </w:rPr>
        <w:t>10</w:t>
      </w:r>
      <w:r w:rsidRPr="002D5002">
        <w:rPr>
          <w:rFonts w:cs="Arial"/>
          <w:noProof/>
        </w:rPr>
        <w:fldChar w:fldCharType="end"/>
      </w:r>
    </w:p>
    <w:p w14:paraId="39082580" w14:textId="69BEE76F"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8.</w:t>
      </w:r>
      <w:r w:rsidRPr="002D5002">
        <w:rPr>
          <w:rFonts w:eastAsiaTheme="minorEastAsia" w:cs="Arial"/>
          <w:noProof/>
          <w:szCs w:val="22"/>
          <w:lang w:eastAsia="en-GB"/>
        </w:rPr>
        <w:tab/>
      </w:r>
      <w:r w:rsidRPr="002D5002">
        <w:rPr>
          <w:rFonts w:eastAsia="Calibri" w:cs="Arial"/>
          <w:b/>
          <w:noProof/>
          <w:color w:val="1F3864"/>
        </w:rPr>
        <w:t>Attendance monitoring</w:t>
      </w:r>
      <w:r w:rsidRPr="002D5002">
        <w:rPr>
          <w:rFonts w:cs="Arial"/>
          <w:noProof/>
        </w:rPr>
        <w:tab/>
      </w:r>
      <w:r w:rsidRPr="002D5002">
        <w:rPr>
          <w:rFonts w:cs="Arial"/>
          <w:noProof/>
        </w:rPr>
        <w:fldChar w:fldCharType="begin"/>
      </w:r>
      <w:r w:rsidRPr="002D5002">
        <w:rPr>
          <w:rFonts w:cs="Arial"/>
          <w:noProof/>
        </w:rPr>
        <w:instrText xml:space="preserve"> PAGEREF _Toc181879422 \h </w:instrText>
      </w:r>
      <w:r w:rsidRPr="002D5002">
        <w:rPr>
          <w:rFonts w:cs="Arial"/>
          <w:noProof/>
        </w:rPr>
      </w:r>
      <w:r w:rsidRPr="002D5002">
        <w:rPr>
          <w:rFonts w:cs="Arial"/>
          <w:noProof/>
        </w:rPr>
        <w:fldChar w:fldCharType="separate"/>
      </w:r>
      <w:r w:rsidR="002F596F">
        <w:rPr>
          <w:rFonts w:cs="Arial"/>
          <w:noProof/>
        </w:rPr>
        <w:t>11</w:t>
      </w:r>
      <w:r w:rsidRPr="002D5002">
        <w:rPr>
          <w:rFonts w:cs="Arial"/>
          <w:noProof/>
        </w:rPr>
        <w:fldChar w:fldCharType="end"/>
      </w:r>
    </w:p>
    <w:p w14:paraId="07C28C85" w14:textId="27547446" w:rsidR="000531FD" w:rsidRPr="002D5002" w:rsidRDefault="000531FD">
      <w:pPr>
        <w:pStyle w:val="TOC1"/>
        <w:tabs>
          <w:tab w:val="left" w:pos="440"/>
        </w:tabs>
        <w:rPr>
          <w:rFonts w:eastAsiaTheme="minorEastAsia" w:cs="Arial"/>
          <w:noProof/>
          <w:szCs w:val="22"/>
          <w:lang w:eastAsia="en-GB"/>
        </w:rPr>
      </w:pPr>
      <w:r w:rsidRPr="002D5002">
        <w:rPr>
          <w:rFonts w:eastAsia="Calibri" w:cs="Arial"/>
          <w:b/>
          <w:noProof/>
          <w:color w:val="1F3864"/>
        </w:rPr>
        <w:t>9.</w:t>
      </w:r>
      <w:r w:rsidRPr="002D5002">
        <w:rPr>
          <w:rFonts w:eastAsiaTheme="minorEastAsia" w:cs="Arial"/>
          <w:noProof/>
          <w:szCs w:val="22"/>
          <w:lang w:eastAsia="en-GB"/>
        </w:rPr>
        <w:tab/>
      </w:r>
      <w:r w:rsidRPr="002D5002">
        <w:rPr>
          <w:rFonts w:eastAsia="Calibri" w:cs="Arial"/>
          <w:b/>
          <w:noProof/>
          <w:color w:val="1F3864"/>
        </w:rPr>
        <w:t>Monitoring arrangements</w:t>
      </w:r>
      <w:r w:rsidRPr="002D5002">
        <w:rPr>
          <w:rFonts w:cs="Arial"/>
          <w:noProof/>
        </w:rPr>
        <w:tab/>
      </w:r>
      <w:r w:rsidRPr="002D5002">
        <w:rPr>
          <w:rFonts w:cs="Arial"/>
          <w:noProof/>
        </w:rPr>
        <w:fldChar w:fldCharType="begin"/>
      </w:r>
      <w:r w:rsidRPr="002D5002">
        <w:rPr>
          <w:rFonts w:cs="Arial"/>
          <w:noProof/>
        </w:rPr>
        <w:instrText xml:space="preserve"> PAGEREF _Toc181879423 \h </w:instrText>
      </w:r>
      <w:r w:rsidRPr="002D5002">
        <w:rPr>
          <w:rFonts w:cs="Arial"/>
          <w:noProof/>
        </w:rPr>
      </w:r>
      <w:r w:rsidRPr="002D5002">
        <w:rPr>
          <w:rFonts w:cs="Arial"/>
          <w:noProof/>
        </w:rPr>
        <w:fldChar w:fldCharType="separate"/>
      </w:r>
      <w:r w:rsidR="002F596F">
        <w:rPr>
          <w:rFonts w:cs="Arial"/>
          <w:noProof/>
        </w:rPr>
        <w:t>12</w:t>
      </w:r>
      <w:r w:rsidRPr="002D5002">
        <w:rPr>
          <w:rFonts w:cs="Arial"/>
          <w:noProof/>
        </w:rPr>
        <w:fldChar w:fldCharType="end"/>
      </w:r>
    </w:p>
    <w:p w14:paraId="04B6E096" w14:textId="2E7AAE3E" w:rsidR="000531FD" w:rsidRPr="002D5002" w:rsidRDefault="000531FD">
      <w:pPr>
        <w:pStyle w:val="TOC1"/>
        <w:tabs>
          <w:tab w:val="left" w:pos="660"/>
        </w:tabs>
        <w:rPr>
          <w:rFonts w:eastAsiaTheme="minorEastAsia" w:cs="Arial"/>
          <w:noProof/>
          <w:szCs w:val="22"/>
          <w:lang w:eastAsia="en-GB"/>
        </w:rPr>
      </w:pPr>
      <w:r w:rsidRPr="002D5002">
        <w:rPr>
          <w:rFonts w:eastAsia="Calibri" w:cs="Arial"/>
          <w:b/>
          <w:noProof/>
          <w:color w:val="1F3864"/>
        </w:rPr>
        <w:t>10.</w:t>
      </w:r>
      <w:r w:rsidRPr="002D5002">
        <w:rPr>
          <w:rFonts w:eastAsiaTheme="minorEastAsia" w:cs="Arial"/>
          <w:noProof/>
          <w:szCs w:val="22"/>
          <w:lang w:eastAsia="en-GB"/>
        </w:rPr>
        <w:tab/>
      </w:r>
      <w:r w:rsidRPr="002D5002">
        <w:rPr>
          <w:rFonts w:eastAsia="Calibri" w:cs="Arial"/>
          <w:b/>
          <w:noProof/>
          <w:color w:val="1F3864"/>
        </w:rPr>
        <w:t>Links with other policies</w:t>
      </w:r>
      <w:r w:rsidRPr="002D5002">
        <w:rPr>
          <w:rFonts w:cs="Arial"/>
          <w:noProof/>
        </w:rPr>
        <w:tab/>
      </w:r>
      <w:r w:rsidRPr="002D5002">
        <w:rPr>
          <w:rFonts w:cs="Arial"/>
          <w:noProof/>
        </w:rPr>
        <w:fldChar w:fldCharType="begin"/>
      </w:r>
      <w:r w:rsidRPr="002D5002">
        <w:rPr>
          <w:rFonts w:cs="Arial"/>
          <w:noProof/>
        </w:rPr>
        <w:instrText xml:space="preserve"> PAGEREF _Toc181879424 \h </w:instrText>
      </w:r>
      <w:r w:rsidRPr="002D5002">
        <w:rPr>
          <w:rFonts w:cs="Arial"/>
          <w:noProof/>
        </w:rPr>
      </w:r>
      <w:r w:rsidRPr="002D5002">
        <w:rPr>
          <w:rFonts w:cs="Arial"/>
          <w:noProof/>
        </w:rPr>
        <w:fldChar w:fldCharType="separate"/>
      </w:r>
      <w:r w:rsidR="002F596F">
        <w:rPr>
          <w:rFonts w:cs="Arial"/>
          <w:noProof/>
        </w:rPr>
        <w:t>12</w:t>
      </w:r>
      <w:r w:rsidRPr="002D5002">
        <w:rPr>
          <w:rFonts w:cs="Arial"/>
          <w:noProof/>
        </w:rPr>
        <w:fldChar w:fldCharType="end"/>
      </w:r>
    </w:p>
    <w:p w14:paraId="60061E4C" w14:textId="77777777" w:rsidR="001C372F" w:rsidRPr="002D5002" w:rsidRDefault="006E470E" w:rsidP="00B721AE">
      <w:pPr>
        <w:pBdr>
          <w:top w:val="nil"/>
          <w:left w:val="nil"/>
          <w:bottom w:val="nil"/>
          <w:right w:val="nil"/>
          <w:between w:val="nil"/>
        </w:pBdr>
        <w:spacing w:before="45" w:after="120" w:line="360" w:lineRule="auto"/>
        <w:rPr>
          <w:rFonts w:ascii="Arial" w:eastAsia="Calibri" w:hAnsi="Arial" w:cs="Arial"/>
          <w:b/>
          <w:color w:val="1F3864"/>
          <w:sz w:val="36"/>
          <w:szCs w:val="36"/>
        </w:rPr>
      </w:pPr>
      <w:r w:rsidRPr="002D5002">
        <w:rPr>
          <w:rFonts w:ascii="Arial" w:hAnsi="Arial" w:cs="Arial"/>
          <w:sz w:val="22"/>
        </w:rPr>
        <w:fldChar w:fldCharType="end"/>
      </w:r>
    </w:p>
    <w:p w14:paraId="44EAFD9C" w14:textId="77777777" w:rsidR="00ED2E56" w:rsidRPr="002D5002" w:rsidRDefault="00ED2E56">
      <w:pPr>
        <w:rPr>
          <w:rFonts w:ascii="Arial" w:eastAsia="Calibri" w:hAnsi="Arial" w:cs="Arial"/>
          <w:b/>
          <w:color w:val="1F3864"/>
          <w:sz w:val="36"/>
          <w:szCs w:val="36"/>
        </w:rPr>
      </w:pPr>
      <w:r w:rsidRPr="002D5002">
        <w:rPr>
          <w:rFonts w:ascii="Arial" w:eastAsia="Calibri" w:hAnsi="Arial" w:cs="Arial"/>
          <w:b/>
          <w:color w:val="1F3864"/>
          <w:sz w:val="36"/>
          <w:szCs w:val="36"/>
        </w:rPr>
        <w:br w:type="page"/>
      </w:r>
    </w:p>
    <w:p w14:paraId="62FB73D2" w14:textId="68C82958" w:rsidR="003F1321" w:rsidRPr="002D5002" w:rsidRDefault="00D6663B" w:rsidP="009214F1">
      <w:pPr>
        <w:pStyle w:val="Heading1"/>
        <w:numPr>
          <w:ilvl w:val="0"/>
          <w:numId w:val="1"/>
        </w:numPr>
        <w:ind w:left="284"/>
        <w:rPr>
          <w:rFonts w:ascii="Arial" w:eastAsia="Calibri" w:hAnsi="Arial" w:cs="Arial"/>
          <w:b/>
          <w:color w:val="1F3864"/>
          <w:sz w:val="36"/>
          <w:szCs w:val="36"/>
        </w:rPr>
      </w:pPr>
      <w:bookmarkStart w:id="0" w:name="_Toc181879415"/>
      <w:r>
        <w:rPr>
          <w:rFonts w:ascii="Arial" w:eastAsia="Calibri" w:hAnsi="Arial" w:cs="Arial"/>
          <w:b/>
          <w:color w:val="1F3864"/>
          <w:sz w:val="36"/>
          <w:szCs w:val="36"/>
        </w:rPr>
        <w:lastRenderedPageBreak/>
        <w:t>Rationale</w:t>
      </w:r>
      <w:r w:rsidR="003F1321" w:rsidRPr="002D5002">
        <w:rPr>
          <w:rFonts w:ascii="Arial" w:eastAsia="Calibri" w:hAnsi="Arial" w:cs="Arial"/>
          <w:color w:val="000000"/>
        </w:rPr>
        <w:t>:</w:t>
      </w:r>
      <w:bookmarkEnd w:id="0"/>
    </w:p>
    <w:p w14:paraId="4B94D5A5" w14:textId="77777777" w:rsidR="00C04761" w:rsidRPr="002D5002" w:rsidRDefault="00C04761" w:rsidP="00C04761">
      <w:pPr>
        <w:rPr>
          <w:rFonts w:ascii="Arial" w:hAnsi="Arial" w:cs="Arial"/>
        </w:rPr>
      </w:pPr>
    </w:p>
    <w:p w14:paraId="30B95522" w14:textId="77777777" w:rsidR="00EB03F7" w:rsidRPr="00EB03F7" w:rsidRDefault="00EB03F7" w:rsidP="00EB03F7">
      <w:pPr>
        <w:rPr>
          <w:rFonts w:asciiTheme="minorHAnsi" w:hAnsiTheme="minorHAnsi" w:cstheme="minorHAnsi"/>
        </w:rPr>
      </w:pPr>
      <w:r w:rsidRPr="00EB03F7">
        <w:rPr>
          <w:rFonts w:asciiTheme="minorHAnsi" w:hAnsiTheme="minorHAnsi" w:cstheme="minorHAnsi"/>
        </w:rPr>
        <w:t>At Botwell House Catholic Primary School, we recognise that the learning environment is a powerful contributor to pupils’ academic success, personal development and sense of belonging. Classrooms and shared spaces communicate our values, expectations and ambition for all learners. Well-considered displays support high-quality teaching, reinforce curriculum intent and promote positive attitudes to learning by making knowledge, progress and achievement visible. </w:t>
      </w:r>
    </w:p>
    <w:p w14:paraId="5103C75A" w14:textId="77777777" w:rsidR="00EB03F7" w:rsidRPr="00EB03F7" w:rsidRDefault="00EB03F7" w:rsidP="00EB03F7">
      <w:pPr>
        <w:rPr>
          <w:rFonts w:asciiTheme="minorHAnsi" w:hAnsiTheme="minorHAnsi" w:cstheme="minorHAnsi"/>
        </w:rPr>
      </w:pPr>
      <w:r w:rsidRPr="00EB03F7">
        <w:rPr>
          <w:rFonts w:asciiTheme="minorHAnsi" w:hAnsiTheme="minorHAnsi" w:cstheme="minorHAnsi"/>
        </w:rPr>
        <w:t> </w:t>
      </w:r>
    </w:p>
    <w:p w14:paraId="1903A4E9" w14:textId="77777777" w:rsidR="00EB03F7" w:rsidRPr="00EB03F7" w:rsidRDefault="00EB03F7" w:rsidP="00EB03F7">
      <w:pPr>
        <w:rPr>
          <w:rFonts w:asciiTheme="minorHAnsi" w:hAnsiTheme="minorHAnsi" w:cstheme="minorHAnsi"/>
        </w:rPr>
      </w:pPr>
      <w:r w:rsidRPr="00EB03F7">
        <w:rPr>
          <w:rFonts w:asciiTheme="minorHAnsi" w:hAnsiTheme="minorHAnsi" w:cstheme="minorHAnsi"/>
        </w:rPr>
        <w:t>This policy sets out clear expectations for the design, purpose and maintenance of learning environments across the school. It ensures that displays are inclusive, purposeful and aspirational, supporting pupils to know more, remember more and do more, while reflecting our school’s Catholic ethos, British Values and commitment to excellence for all. </w:t>
      </w:r>
    </w:p>
    <w:p w14:paraId="3DEEC669" w14:textId="77777777" w:rsidR="003F1321" w:rsidRPr="002D5002" w:rsidRDefault="003F1321" w:rsidP="005117E4">
      <w:pPr>
        <w:rPr>
          <w:rFonts w:ascii="Arial" w:eastAsia="Calibri" w:hAnsi="Arial" w:cs="Arial"/>
          <w:b/>
          <w:sz w:val="22"/>
          <w:szCs w:val="22"/>
        </w:rPr>
      </w:pPr>
    </w:p>
    <w:p w14:paraId="3656B9AB" w14:textId="77777777" w:rsidR="003F1321" w:rsidRPr="002D5002" w:rsidRDefault="003F1321" w:rsidP="005117E4">
      <w:pPr>
        <w:rPr>
          <w:rFonts w:ascii="Arial" w:eastAsia="Calibri" w:hAnsi="Arial" w:cs="Arial"/>
          <w:b/>
          <w:sz w:val="22"/>
          <w:szCs w:val="22"/>
        </w:rPr>
      </w:pPr>
    </w:p>
    <w:p w14:paraId="64C5D321" w14:textId="06D4703D" w:rsidR="003F1321" w:rsidRPr="002D5002" w:rsidRDefault="00EB03F7" w:rsidP="009214F1">
      <w:pPr>
        <w:pStyle w:val="Heading1"/>
        <w:numPr>
          <w:ilvl w:val="0"/>
          <w:numId w:val="1"/>
        </w:numPr>
        <w:ind w:left="284"/>
        <w:rPr>
          <w:rFonts w:ascii="Arial" w:eastAsia="Calibri" w:hAnsi="Arial" w:cs="Arial"/>
          <w:b/>
          <w:color w:val="1F3864"/>
          <w:sz w:val="36"/>
          <w:szCs w:val="36"/>
        </w:rPr>
      </w:pPr>
      <w:bookmarkStart w:id="1" w:name="_Toc181879416"/>
      <w:r>
        <w:rPr>
          <w:rFonts w:ascii="Arial" w:eastAsia="Calibri" w:hAnsi="Arial" w:cs="Arial"/>
          <w:b/>
          <w:color w:val="1F3864"/>
          <w:sz w:val="36"/>
          <w:szCs w:val="36"/>
        </w:rPr>
        <w:t>Aims</w:t>
      </w:r>
      <w:r w:rsidR="00D8490D">
        <w:rPr>
          <w:rFonts w:ascii="Arial" w:eastAsia="Calibri" w:hAnsi="Arial" w:cs="Arial"/>
          <w:b/>
          <w:color w:val="1F3864"/>
          <w:sz w:val="36"/>
          <w:szCs w:val="36"/>
        </w:rPr>
        <w:t xml:space="preserve"> and Intent</w:t>
      </w:r>
      <w:r w:rsidR="003F1321" w:rsidRPr="002D5002">
        <w:rPr>
          <w:rFonts w:ascii="Arial" w:eastAsia="Calibri" w:hAnsi="Arial" w:cs="Arial"/>
          <w:color w:val="000000"/>
        </w:rPr>
        <w:t>:</w:t>
      </w:r>
      <w:bookmarkEnd w:id="1"/>
    </w:p>
    <w:p w14:paraId="037BF811" w14:textId="77777777" w:rsidR="001939C6" w:rsidRPr="001939C6" w:rsidRDefault="001939C6" w:rsidP="001939C6">
      <w:pPr>
        <w:rPr>
          <w:rFonts w:asciiTheme="minorHAnsi" w:hAnsiTheme="minorHAnsi" w:cstheme="minorHAnsi"/>
        </w:rPr>
      </w:pPr>
    </w:p>
    <w:p w14:paraId="07AD6995" w14:textId="07E8A7DA" w:rsidR="001939C6" w:rsidRPr="001939C6" w:rsidRDefault="001939C6" w:rsidP="001939C6">
      <w:pPr>
        <w:rPr>
          <w:rFonts w:asciiTheme="minorHAnsi" w:hAnsiTheme="minorHAnsi" w:cstheme="minorHAnsi"/>
        </w:rPr>
      </w:pPr>
      <w:r w:rsidRPr="001939C6">
        <w:rPr>
          <w:rFonts w:asciiTheme="minorHAnsi" w:hAnsiTheme="minorHAnsi" w:cstheme="minorHAnsi"/>
        </w:rPr>
        <w:t>The aim of this policy is to ensure that all learning environments at Botwell House Catholic Primary School reflect consistently high expectations and actively support effective teaching and learning. Displays and classroom environments are intended to celebrate all achievement, value all pupils’ work and foster pride, confidence and motivation in learning. </w:t>
      </w:r>
    </w:p>
    <w:p w14:paraId="22B83F44" w14:textId="77777777" w:rsidR="001939C6" w:rsidRPr="001939C6" w:rsidRDefault="001939C6" w:rsidP="001939C6">
      <w:pPr>
        <w:rPr>
          <w:rFonts w:asciiTheme="minorHAnsi" w:hAnsiTheme="minorHAnsi" w:cstheme="minorHAnsi"/>
        </w:rPr>
      </w:pPr>
      <w:r w:rsidRPr="001939C6">
        <w:rPr>
          <w:rFonts w:asciiTheme="minorHAnsi" w:hAnsiTheme="minorHAnsi" w:cstheme="minorHAnsi"/>
        </w:rPr>
        <w:t> </w:t>
      </w:r>
    </w:p>
    <w:p w14:paraId="115FC7C8" w14:textId="77777777" w:rsidR="001939C6" w:rsidRPr="001939C6" w:rsidRDefault="001939C6" w:rsidP="001939C6">
      <w:pPr>
        <w:rPr>
          <w:rFonts w:asciiTheme="minorHAnsi" w:hAnsiTheme="minorHAnsi" w:cstheme="minorHAnsi"/>
        </w:rPr>
      </w:pPr>
      <w:r w:rsidRPr="001939C6">
        <w:rPr>
          <w:rFonts w:asciiTheme="minorHAnsi" w:hAnsiTheme="minorHAnsi" w:cstheme="minorHAnsi"/>
        </w:rPr>
        <w:t>The learning environment is designed to reinforce positive learning behaviours by modelling high standards of presentation, organisation and tidiness. Displays should support pupils to engage with and retrieve key knowledge, deepen understanding and make meaningful connections across the curriculum. Through the use of modelled examples, subject-specific vocabulary, worked responses and visual prompts, displays should help pupils to become increasingly independent and reflective learners. </w:t>
      </w:r>
    </w:p>
    <w:p w14:paraId="2280005A" w14:textId="77777777" w:rsidR="001939C6" w:rsidRPr="001939C6" w:rsidRDefault="001939C6" w:rsidP="001939C6">
      <w:pPr>
        <w:rPr>
          <w:rFonts w:asciiTheme="minorHAnsi" w:hAnsiTheme="minorHAnsi" w:cstheme="minorHAnsi"/>
        </w:rPr>
      </w:pPr>
      <w:r w:rsidRPr="001939C6">
        <w:rPr>
          <w:rFonts w:asciiTheme="minorHAnsi" w:hAnsiTheme="minorHAnsi" w:cstheme="minorHAnsi"/>
        </w:rPr>
        <w:t> </w:t>
      </w:r>
    </w:p>
    <w:p w14:paraId="239A351E" w14:textId="77777777" w:rsidR="001939C6" w:rsidRPr="001939C6" w:rsidRDefault="001939C6" w:rsidP="001939C6">
      <w:pPr>
        <w:rPr>
          <w:rFonts w:asciiTheme="minorHAnsi" w:hAnsiTheme="minorHAnsi" w:cstheme="minorHAnsi"/>
        </w:rPr>
      </w:pPr>
      <w:r w:rsidRPr="001939C6">
        <w:rPr>
          <w:rFonts w:asciiTheme="minorHAnsi" w:hAnsiTheme="minorHAnsi" w:cstheme="minorHAnsi"/>
        </w:rPr>
        <w:t>All learning environments should be inclusive and representative of our school community, reflecting cultural diversity, school values and British Values. Displays should support pupils’ spiritual, moral, social, cultural, creative, aesthetic and cognitive development, ensuring accessibility for all learners, including those with SEND. Above all, classrooms and shared spaces should be welcoming, purposeful and aspirational, clearly communicating our school’s commitment to high-quality education and pupil success. </w:t>
      </w:r>
    </w:p>
    <w:p w14:paraId="049F31CB" w14:textId="77777777" w:rsidR="003F1321" w:rsidRPr="002D5002" w:rsidRDefault="003F1321" w:rsidP="005117E4">
      <w:pPr>
        <w:rPr>
          <w:rFonts w:ascii="Arial" w:eastAsia="Calibri" w:hAnsi="Arial" w:cs="Arial"/>
          <w:b/>
          <w:sz w:val="22"/>
          <w:szCs w:val="22"/>
        </w:rPr>
      </w:pPr>
    </w:p>
    <w:p w14:paraId="53128261" w14:textId="77777777" w:rsidR="003F1321" w:rsidRPr="002D5002" w:rsidRDefault="003F1321" w:rsidP="005117E4">
      <w:pPr>
        <w:rPr>
          <w:rFonts w:ascii="Arial" w:eastAsia="Calibri" w:hAnsi="Arial" w:cs="Arial"/>
          <w:b/>
          <w:sz w:val="22"/>
          <w:szCs w:val="22"/>
        </w:rPr>
      </w:pPr>
    </w:p>
    <w:p w14:paraId="62653093" w14:textId="2C40F8E0" w:rsidR="003F1321" w:rsidRDefault="00EC2E89" w:rsidP="009214F1">
      <w:pPr>
        <w:pStyle w:val="Heading1"/>
        <w:numPr>
          <w:ilvl w:val="0"/>
          <w:numId w:val="1"/>
        </w:numPr>
        <w:ind w:left="284"/>
        <w:rPr>
          <w:rFonts w:ascii="Arial" w:eastAsia="Calibri" w:hAnsi="Arial" w:cs="Arial"/>
          <w:color w:val="000000"/>
        </w:rPr>
      </w:pPr>
      <w:bookmarkStart w:id="2" w:name="_Toc181879417"/>
      <w:r>
        <w:rPr>
          <w:rFonts w:ascii="Arial" w:eastAsia="Calibri" w:hAnsi="Arial" w:cs="Arial"/>
          <w:b/>
          <w:color w:val="1F3864"/>
          <w:sz w:val="36"/>
          <w:szCs w:val="36"/>
        </w:rPr>
        <w:t>Statutory guidance</w:t>
      </w:r>
      <w:r w:rsidR="003F1321" w:rsidRPr="002D5002">
        <w:rPr>
          <w:rFonts w:ascii="Arial" w:eastAsia="Calibri" w:hAnsi="Arial" w:cs="Arial"/>
          <w:color w:val="000000"/>
        </w:rPr>
        <w:t>:</w:t>
      </w:r>
      <w:bookmarkEnd w:id="2"/>
    </w:p>
    <w:p w14:paraId="0FC8B11D" w14:textId="77777777" w:rsidR="00CF0E7F" w:rsidRDefault="00CF0E7F" w:rsidP="00CF0E7F">
      <w:pPr>
        <w:rPr>
          <w:rFonts w:eastAsia="Calibri"/>
        </w:rPr>
      </w:pPr>
    </w:p>
    <w:p w14:paraId="2FEB1065" w14:textId="77777777" w:rsidR="00AD55F3" w:rsidRDefault="00AD55F3" w:rsidP="00AD55F3">
      <w:pPr>
        <w:rPr>
          <w:rFonts w:asciiTheme="minorHAnsi" w:hAnsiTheme="minorHAnsi" w:cstheme="minorHAnsi"/>
        </w:rPr>
      </w:pPr>
      <w:r w:rsidRPr="00AD55F3">
        <w:rPr>
          <w:rFonts w:asciiTheme="minorHAnsi" w:hAnsiTheme="minorHAnsi" w:cstheme="minorHAnsi"/>
        </w:rPr>
        <w:t xml:space="preserve">All displays and learning environments must comply with statutory guidance relating to curriculum, health and safety, safeguarding and inclusion. The National Curriculum for England requires that displays support learning across subjects by reinforcing essential knowledge, vocabulary and progression (DfE, 2014). Health and safety legislation, including the Health and Safety at Work Act 1974 and the Education (School Premises) Regulations </w:t>
      </w:r>
      <w:r w:rsidRPr="00AD55F3">
        <w:rPr>
          <w:rFonts w:asciiTheme="minorHAnsi" w:hAnsiTheme="minorHAnsi" w:cstheme="minorHAnsi"/>
        </w:rPr>
        <w:lastRenderedPageBreak/>
        <w:t>2012, requires that displays are securely mounted, safely positioned and do not create hazards or obstructions. </w:t>
      </w:r>
    </w:p>
    <w:p w14:paraId="31DD5F94" w14:textId="77777777" w:rsidR="00AD55F3" w:rsidRDefault="00AD55F3" w:rsidP="00AD55F3">
      <w:pPr>
        <w:rPr>
          <w:rFonts w:asciiTheme="minorHAnsi" w:hAnsiTheme="minorHAnsi" w:cstheme="minorHAnsi"/>
        </w:rPr>
      </w:pPr>
    </w:p>
    <w:p w14:paraId="5EA2E19D" w14:textId="77777777" w:rsidR="00D94FF1" w:rsidRDefault="00AD55F3" w:rsidP="00AD55F3">
      <w:pPr>
        <w:rPr>
          <w:rFonts w:asciiTheme="minorHAnsi" w:hAnsiTheme="minorHAnsi" w:cstheme="minorHAnsi"/>
        </w:rPr>
      </w:pPr>
      <w:r w:rsidRPr="00AD55F3">
        <w:rPr>
          <w:rFonts w:asciiTheme="minorHAnsi" w:hAnsiTheme="minorHAnsi" w:cstheme="minorHAnsi"/>
        </w:rPr>
        <w:t xml:space="preserve">The Equality Act 2010 requires that learning environments are accessible and inclusive, reflecting diversity in culture, gender, ethnicity and ability. The SEND Code of Practice (DfE, 2015) emphasises the importance of adapted visual materials and supportive presentation formats to meet pupils’ additional needs. Safeguarding guidance outlined in Keeping Children Safe in Education (DfE, 2023) requires that displays do not include personal or identifiable information without appropriate consent and that all learning spaces remain safe and welcoming. </w:t>
      </w:r>
    </w:p>
    <w:p w14:paraId="4C6DF77C" w14:textId="77777777" w:rsidR="00D94FF1" w:rsidRDefault="00D94FF1" w:rsidP="00AD55F3">
      <w:pPr>
        <w:rPr>
          <w:rFonts w:asciiTheme="minorHAnsi" w:hAnsiTheme="minorHAnsi" w:cstheme="minorHAnsi"/>
        </w:rPr>
      </w:pPr>
    </w:p>
    <w:p w14:paraId="666AE4F6" w14:textId="29B629CA" w:rsidR="00AD55F3" w:rsidRPr="00AD55F3" w:rsidRDefault="00AD55F3" w:rsidP="00AD55F3">
      <w:pPr>
        <w:rPr>
          <w:rFonts w:asciiTheme="minorHAnsi" w:hAnsiTheme="minorHAnsi" w:cstheme="minorHAnsi"/>
        </w:rPr>
      </w:pPr>
      <w:r w:rsidRPr="00AD55F3">
        <w:rPr>
          <w:rFonts w:asciiTheme="minorHAnsi" w:hAnsiTheme="minorHAnsi" w:cstheme="minorHAnsi"/>
        </w:rPr>
        <w:t xml:space="preserve">Displays within the classroom must reflect current learning and be reviewed regularly to ensure accuracy and relevance. Corridor displays should also be a celebration of previous learning from the last term, opportunities for retrieval or opportunities for celebrating your subject. </w:t>
      </w:r>
    </w:p>
    <w:p w14:paraId="479B1F75" w14:textId="77777777" w:rsidR="00AD55F3" w:rsidRPr="00CF0E7F" w:rsidRDefault="00AD55F3" w:rsidP="00CF0E7F">
      <w:pPr>
        <w:rPr>
          <w:rFonts w:eastAsia="Calibri"/>
        </w:rPr>
      </w:pPr>
    </w:p>
    <w:p w14:paraId="3F1E84B1" w14:textId="304EB68A" w:rsidR="00B721AE" w:rsidRPr="002D5002" w:rsidRDefault="009B282B" w:rsidP="009214F1">
      <w:pPr>
        <w:pStyle w:val="Heading1"/>
        <w:numPr>
          <w:ilvl w:val="0"/>
          <w:numId w:val="1"/>
        </w:numPr>
        <w:ind w:left="284"/>
        <w:rPr>
          <w:rFonts w:ascii="Arial" w:eastAsia="Calibri" w:hAnsi="Arial" w:cs="Arial"/>
          <w:b/>
          <w:color w:val="1F3864"/>
          <w:sz w:val="36"/>
          <w:szCs w:val="36"/>
        </w:rPr>
      </w:pPr>
      <w:r>
        <w:rPr>
          <w:rFonts w:ascii="Arial" w:eastAsia="Calibri" w:hAnsi="Arial" w:cs="Arial"/>
          <w:b/>
          <w:color w:val="1F3864"/>
          <w:sz w:val="36"/>
          <w:szCs w:val="36"/>
        </w:rPr>
        <w:t>Research-Informed Principles</w:t>
      </w:r>
    </w:p>
    <w:p w14:paraId="2946DB82" w14:textId="77777777" w:rsidR="000F4790" w:rsidRPr="002D5002" w:rsidRDefault="000F4790" w:rsidP="00B721AE">
      <w:pPr>
        <w:rPr>
          <w:rFonts w:ascii="Arial" w:eastAsia="Calibri" w:hAnsi="Arial" w:cs="Arial"/>
          <w:color w:val="000000"/>
        </w:rPr>
      </w:pPr>
    </w:p>
    <w:p w14:paraId="5015C241" w14:textId="77777777" w:rsidR="00F74A8B" w:rsidRPr="00F74A8B" w:rsidRDefault="00F74A8B" w:rsidP="00F74A8B">
      <w:pPr>
        <w:rPr>
          <w:rFonts w:asciiTheme="minorHAnsi" w:hAnsiTheme="minorHAnsi" w:cstheme="minorHAnsi"/>
          <w:color w:val="FF0000"/>
        </w:rPr>
      </w:pPr>
      <w:r w:rsidRPr="00F74A8B">
        <w:rPr>
          <w:rFonts w:asciiTheme="minorHAnsi" w:hAnsiTheme="minorHAnsi" w:cstheme="minorHAnsi"/>
        </w:rPr>
        <w:t xml:space="preserve">Research highlights the importance of purposeful, well-curated displays in supporting learning. Displays that reinforce key vocabulary, model strategies and support retrieval are more effective than those that are overly decorative or visually busy (EEF, 2017; EEF, 2021). Locating more detailed displays on back or side walls helps to minimise distraction during direct instruction while keeping resources accessible to pupils, whilst the use of working walls from the front of the classroom, whilst modelling activities, ensures that learners are able to access displays when later engrossed in independent learning. </w:t>
      </w:r>
    </w:p>
    <w:p w14:paraId="6DCA1FC3" w14:textId="77777777" w:rsidR="00F74A8B" w:rsidRPr="00F74A8B" w:rsidRDefault="00F74A8B" w:rsidP="00F74A8B">
      <w:pPr>
        <w:rPr>
          <w:rFonts w:asciiTheme="minorHAnsi" w:hAnsiTheme="minorHAnsi" w:cstheme="minorHAnsi"/>
        </w:rPr>
      </w:pPr>
    </w:p>
    <w:p w14:paraId="7E31681C" w14:textId="77777777" w:rsidR="00F74A8B" w:rsidRPr="00F74A8B" w:rsidRDefault="00F74A8B" w:rsidP="00F74A8B">
      <w:pPr>
        <w:rPr>
          <w:rFonts w:asciiTheme="minorHAnsi" w:hAnsiTheme="minorHAnsi" w:cstheme="minorHAnsi"/>
        </w:rPr>
      </w:pPr>
      <w:r w:rsidRPr="00F74A8B">
        <w:rPr>
          <w:rFonts w:asciiTheme="minorHAnsi" w:hAnsiTheme="minorHAnsi" w:cstheme="minorHAnsi"/>
        </w:rPr>
        <w:t xml:space="preserve">A positive classroom climate is strengthened through displays that promote emotional safety, belonging and pupil voice. However, excessive visual stimuli can negatively impact attention and working memory. Therefore, displays should be carefully curated to promote clarity, calmness and relevance, enabling pupils to focus, engage and remember more effectively (EEF, 2018; EEF, 2020).  </w:t>
      </w:r>
    </w:p>
    <w:p w14:paraId="61CDCEAD" w14:textId="77777777" w:rsidR="00B721AE" w:rsidRPr="00F74A8B" w:rsidRDefault="00B721AE" w:rsidP="00B721AE">
      <w:pPr>
        <w:ind w:firstLine="720"/>
        <w:rPr>
          <w:rFonts w:ascii="Arial" w:eastAsia="Calibri" w:hAnsi="Arial" w:cs="Arial"/>
          <w:bCs/>
          <w:sz w:val="22"/>
          <w:szCs w:val="22"/>
        </w:rPr>
      </w:pPr>
    </w:p>
    <w:p w14:paraId="78A437DC" w14:textId="5A6CFF60" w:rsidR="00B721AE" w:rsidRDefault="00F74A8B" w:rsidP="009214F1">
      <w:pPr>
        <w:pStyle w:val="Heading1"/>
        <w:numPr>
          <w:ilvl w:val="0"/>
          <w:numId w:val="1"/>
        </w:numPr>
        <w:ind w:left="284"/>
        <w:rPr>
          <w:rFonts w:ascii="Arial" w:eastAsia="Calibri" w:hAnsi="Arial" w:cs="Arial"/>
          <w:b/>
          <w:color w:val="1F3864"/>
          <w:sz w:val="36"/>
          <w:szCs w:val="36"/>
        </w:rPr>
      </w:pPr>
      <w:r>
        <w:rPr>
          <w:rFonts w:ascii="Arial" w:eastAsia="Calibri" w:hAnsi="Arial" w:cs="Arial"/>
          <w:b/>
          <w:color w:val="1F3864"/>
          <w:sz w:val="36"/>
          <w:szCs w:val="36"/>
        </w:rPr>
        <w:t>Classroom Displa</w:t>
      </w:r>
      <w:r w:rsidR="00C20A8C">
        <w:rPr>
          <w:rFonts w:ascii="Arial" w:eastAsia="Calibri" w:hAnsi="Arial" w:cs="Arial"/>
          <w:b/>
          <w:color w:val="1F3864"/>
          <w:sz w:val="36"/>
          <w:szCs w:val="36"/>
        </w:rPr>
        <w:t>ys</w:t>
      </w:r>
    </w:p>
    <w:p w14:paraId="199E79B5" w14:textId="77777777" w:rsidR="00D114F7" w:rsidRDefault="00D114F7" w:rsidP="00D114F7">
      <w:pPr>
        <w:rPr>
          <w:rFonts w:eastAsia="Calibri"/>
        </w:rPr>
      </w:pPr>
    </w:p>
    <w:p w14:paraId="4F53D8F8" w14:textId="77777777" w:rsidR="005743DE" w:rsidRPr="005743DE" w:rsidRDefault="005743DE" w:rsidP="005743DE">
      <w:pPr>
        <w:rPr>
          <w:rFonts w:asciiTheme="minorHAnsi" w:hAnsiTheme="minorHAnsi" w:cstheme="minorHAnsi"/>
        </w:rPr>
      </w:pPr>
      <w:r w:rsidRPr="005743DE">
        <w:rPr>
          <w:rFonts w:asciiTheme="minorHAnsi" w:hAnsiTheme="minorHAnsi" w:cstheme="minorHAnsi"/>
        </w:rPr>
        <w:t xml:space="preserve">Learning environments and displays are planned as part of the wider curriculum design to ensure coherence, progression and breadth, while avoiding unnecessary duplication. </w:t>
      </w:r>
    </w:p>
    <w:p w14:paraId="5EB77C3B" w14:textId="77777777" w:rsidR="005743DE" w:rsidRPr="005743DE" w:rsidRDefault="005743DE" w:rsidP="005743DE">
      <w:pPr>
        <w:rPr>
          <w:rFonts w:asciiTheme="minorHAnsi" w:hAnsiTheme="minorHAnsi" w:cstheme="minorHAnsi"/>
        </w:rPr>
      </w:pPr>
      <w:r w:rsidRPr="005743DE">
        <w:rPr>
          <w:rFonts w:asciiTheme="minorHAnsi" w:hAnsiTheme="minorHAnsi" w:cstheme="minorHAnsi"/>
        </w:rPr>
        <w:t>With this in mind, staff ensure that curriculum working walls consisting of learning journeys are evident within their learning spaces.  Working walls include the use of flip chart displays and ‘wipe-off’ displays that hold current key vocabulary (with photo visuals) tool boxes, worked solutions to modelled examples, prompts and pupil reflections. Displays should be contextualised and personalised rather than using generic options. (see classroom expectations guidance)</w:t>
      </w:r>
    </w:p>
    <w:p w14:paraId="4BDE651F" w14:textId="77777777" w:rsidR="005743DE" w:rsidRDefault="005743DE" w:rsidP="005743DE">
      <w:pPr>
        <w:rPr>
          <w:rFonts w:asciiTheme="minorHAnsi" w:hAnsiTheme="minorHAnsi" w:cstheme="minorHAnsi"/>
        </w:rPr>
      </w:pPr>
    </w:p>
    <w:p w14:paraId="4025D0FB" w14:textId="0B440772" w:rsidR="005743DE" w:rsidRPr="005743DE" w:rsidRDefault="005743DE" w:rsidP="005743DE">
      <w:pPr>
        <w:rPr>
          <w:rFonts w:asciiTheme="minorHAnsi" w:hAnsiTheme="minorHAnsi" w:cstheme="minorHAnsi"/>
        </w:rPr>
      </w:pPr>
      <w:r w:rsidRPr="005743DE">
        <w:rPr>
          <w:rFonts w:asciiTheme="minorHAnsi" w:hAnsiTheme="minorHAnsi" w:cstheme="minorHAnsi"/>
        </w:rPr>
        <w:t xml:space="preserve">Display boards beyond the classroom may be a subject specific year groups or subjects. </w:t>
      </w:r>
    </w:p>
    <w:p w14:paraId="05CEF618" w14:textId="77777777" w:rsidR="005743DE" w:rsidRPr="005743DE" w:rsidRDefault="005743DE" w:rsidP="005743DE">
      <w:pPr>
        <w:rPr>
          <w:rFonts w:asciiTheme="minorHAnsi" w:hAnsiTheme="minorHAnsi" w:cstheme="minorHAnsi"/>
        </w:rPr>
      </w:pPr>
      <w:r w:rsidRPr="005743DE">
        <w:rPr>
          <w:rFonts w:asciiTheme="minorHAnsi" w:hAnsiTheme="minorHAnsi" w:cstheme="minorHAnsi"/>
        </w:rPr>
        <w:t xml:space="preserve">Subject leaders are responsible for their designated corridor displays that represent their subject area and monitor how they showcase high-quality learning and communicate curriculum intent. </w:t>
      </w:r>
    </w:p>
    <w:p w14:paraId="6FC3A014" w14:textId="77777777" w:rsidR="005743DE" w:rsidRPr="005743DE" w:rsidRDefault="005743DE" w:rsidP="005743DE">
      <w:pPr>
        <w:rPr>
          <w:rFonts w:asciiTheme="minorHAnsi" w:hAnsiTheme="minorHAnsi" w:cstheme="minorHAnsi"/>
        </w:rPr>
      </w:pPr>
    </w:p>
    <w:p w14:paraId="3EE1034C" w14:textId="77777777" w:rsidR="005743DE" w:rsidRPr="005743DE" w:rsidRDefault="005743DE" w:rsidP="005743DE">
      <w:pPr>
        <w:rPr>
          <w:rFonts w:asciiTheme="minorHAnsi" w:hAnsiTheme="minorHAnsi" w:cstheme="minorHAnsi"/>
        </w:rPr>
      </w:pPr>
      <w:r w:rsidRPr="005743DE">
        <w:rPr>
          <w:rFonts w:asciiTheme="minorHAnsi" w:hAnsiTheme="minorHAnsi" w:cstheme="minorHAnsi"/>
        </w:rPr>
        <w:t xml:space="preserve">Display board guidance: </w:t>
      </w:r>
    </w:p>
    <w:p w14:paraId="594840F7" w14:textId="77777777" w:rsidR="005743DE" w:rsidRPr="005743DE" w:rsidRDefault="005743DE" w:rsidP="009214F1">
      <w:pPr>
        <w:pStyle w:val="ListParagraph"/>
        <w:numPr>
          <w:ilvl w:val="0"/>
          <w:numId w:val="3"/>
        </w:numPr>
        <w:spacing w:after="160" w:line="278" w:lineRule="auto"/>
        <w:rPr>
          <w:rFonts w:asciiTheme="minorHAnsi" w:hAnsiTheme="minorHAnsi" w:cstheme="minorHAnsi"/>
          <w:b/>
          <w:bCs/>
          <w:sz w:val="24"/>
          <w:szCs w:val="24"/>
        </w:rPr>
      </w:pPr>
      <w:r w:rsidRPr="005743DE">
        <w:rPr>
          <w:rFonts w:asciiTheme="minorHAnsi" w:hAnsiTheme="minorHAnsi" w:cstheme="minorHAnsi"/>
          <w:sz w:val="24"/>
          <w:szCs w:val="24"/>
        </w:rPr>
        <w:t>Boards should take into account the needs of pupils with visual stress, dyslexia, or other additional needs and the work celebrated should reflect the children. (</w:t>
      </w:r>
      <w:r w:rsidRPr="005743DE">
        <w:rPr>
          <w:rFonts w:asciiTheme="minorHAnsi" w:hAnsiTheme="minorHAnsi" w:cstheme="minorHAnsi"/>
          <w:b/>
          <w:bCs/>
          <w:sz w:val="24"/>
          <w:szCs w:val="24"/>
        </w:rPr>
        <w:t>no adult art work should be on a display)</w:t>
      </w:r>
    </w:p>
    <w:p w14:paraId="43F13313" w14:textId="77777777" w:rsidR="005743DE" w:rsidRPr="005743DE" w:rsidRDefault="005743DE" w:rsidP="009214F1">
      <w:pPr>
        <w:pStyle w:val="ListParagraph"/>
        <w:numPr>
          <w:ilvl w:val="0"/>
          <w:numId w:val="3"/>
        </w:numPr>
        <w:spacing w:after="160" w:line="278" w:lineRule="auto"/>
        <w:rPr>
          <w:rFonts w:asciiTheme="minorHAnsi" w:hAnsiTheme="minorHAnsi" w:cstheme="minorHAnsi"/>
          <w:sz w:val="24"/>
          <w:szCs w:val="24"/>
        </w:rPr>
      </w:pPr>
      <w:r w:rsidRPr="005743DE">
        <w:rPr>
          <w:rFonts w:asciiTheme="minorHAnsi" w:hAnsiTheme="minorHAnsi" w:cstheme="minorHAnsi"/>
          <w:sz w:val="24"/>
          <w:szCs w:val="24"/>
        </w:rPr>
        <w:t xml:space="preserve">Display boards titles are clear and may use lettering or banner form. </w:t>
      </w:r>
    </w:p>
    <w:p w14:paraId="17413699" w14:textId="77777777" w:rsidR="005743DE" w:rsidRPr="005743DE" w:rsidRDefault="005743DE" w:rsidP="009214F1">
      <w:pPr>
        <w:pStyle w:val="ListParagraph"/>
        <w:numPr>
          <w:ilvl w:val="0"/>
          <w:numId w:val="3"/>
        </w:numPr>
        <w:spacing w:after="160" w:line="278" w:lineRule="auto"/>
        <w:rPr>
          <w:rFonts w:asciiTheme="minorHAnsi" w:hAnsiTheme="minorHAnsi" w:cstheme="minorHAnsi"/>
          <w:sz w:val="24"/>
          <w:szCs w:val="24"/>
        </w:rPr>
      </w:pPr>
      <w:r w:rsidRPr="005743DE">
        <w:rPr>
          <w:rFonts w:asciiTheme="minorHAnsi" w:hAnsiTheme="minorHAnsi" w:cstheme="minorHAnsi"/>
          <w:sz w:val="24"/>
          <w:szCs w:val="24"/>
        </w:rPr>
        <w:t xml:space="preserve">Display boards make use of muted colour backgrounds, where the children’s achievements are celebrated through the use of photos that share the process of learning, captured speech reflections, finished pieces of work that represent the children working within each class. </w:t>
      </w:r>
    </w:p>
    <w:p w14:paraId="3BD84521" w14:textId="77777777" w:rsidR="005743DE" w:rsidRPr="005743DE" w:rsidRDefault="005743DE" w:rsidP="009214F1">
      <w:pPr>
        <w:pStyle w:val="ListParagraph"/>
        <w:numPr>
          <w:ilvl w:val="0"/>
          <w:numId w:val="3"/>
        </w:numPr>
        <w:spacing w:after="160" w:line="278" w:lineRule="auto"/>
        <w:rPr>
          <w:rFonts w:asciiTheme="minorHAnsi" w:hAnsiTheme="minorHAnsi" w:cstheme="minorHAnsi"/>
          <w:sz w:val="24"/>
          <w:szCs w:val="24"/>
        </w:rPr>
      </w:pPr>
      <w:r w:rsidRPr="005743DE">
        <w:rPr>
          <w:rFonts w:asciiTheme="minorHAnsi" w:hAnsiTheme="minorHAnsi" w:cstheme="minorHAnsi"/>
          <w:sz w:val="24"/>
          <w:szCs w:val="24"/>
        </w:rPr>
        <w:t>Display, including boarders, should be regularly reviewed as they can be damaged easily.</w:t>
      </w:r>
    </w:p>
    <w:p w14:paraId="72E0C9A5" w14:textId="77777777" w:rsidR="005743DE" w:rsidRPr="005743DE" w:rsidRDefault="005743DE" w:rsidP="009214F1">
      <w:pPr>
        <w:pStyle w:val="ListParagraph"/>
        <w:numPr>
          <w:ilvl w:val="0"/>
          <w:numId w:val="3"/>
        </w:numPr>
        <w:spacing w:after="160" w:line="278" w:lineRule="auto"/>
        <w:rPr>
          <w:rFonts w:asciiTheme="minorHAnsi" w:hAnsiTheme="minorHAnsi" w:cstheme="minorHAnsi"/>
          <w:sz w:val="24"/>
          <w:szCs w:val="24"/>
        </w:rPr>
      </w:pPr>
      <w:r w:rsidRPr="005743DE">
        <w:rPr>
          <w:rFonts w:asciiTheme="minorHAnsi" w:hAnsiTheme="minorHAnsi" w:cstheme="minorHAnsi"/>
          <w:sz w:val="24"/>
          <w:szCs w:val="24"/>
        </w:rPr>
        <w:t xml:space="preserve">Work may be attached on pegged lines if a first draft before being securely attached to the wall with staples put in at angles. </w:t>
      </w:r>
    </w:p>
    <w:p w14:paraId="34A4A3CC" w14:textId="77777777" w:rsidR="005743DE" w:rsidRPr="005743DE" w:rsidRDefault="005743DE" w:rsidP="009214F1">
      <w:pPr>
        <w:pStyle w:val="ListParagraph"/>
        <w:numPr>
          <w:ilvl w:val="0"/>
          <w:numId w:val="3"/>
        </w:numPr>
        <w:spacing w:after="160" w:line="278" w:lineRule="auto"/>
        <w:rPr>
          <w:rFonts w:asciiTheme="minorHAnsi" w:hAnsiTheme="minorHAnsi" w:cstheme="minorHAnsi"/>
          <w:sz w:val="24"/>
          <w:szCs w:val="24"/>
        </w:rPr>
      </w:pPr>
      <w:r w:rsidRPr="005743DE">
        <w:rPr>
          <w:rFonts w:asciiTheme="minorHAnsi" w:hAnsiTheme="minorHAnsi" w:cstheme="minorHAnsi"/>
          <w:sz w:val="24"/>
          <w:szCs w:val="24"/>
        </w:rPr>
        <w:t xml:space="preserve">Names of children are clearly labelled on the work. To ensure that displays are interactive, key questions that may deepen children’s thinking are also included at levels that the children can read. </w:t>
      </w:r>
    </w:p>
    <w:p w14:paraId="2B2C8F78" w14:textId="77777777" w:rsidR="005743DE" w:rsidRPr="005743DE" w:rsidRDefault="005743DE" w:rsidP="009214F1">
      <w:pPr>
        <w:pStyle w:val="ListParagraph"/>
        <w:numPr>
          <w:ilvl w:val="0"/>
          <w:numId w:val="3"/>
        </w:numPr>
        <w:spacing w:after="160" w:line="278" w:lineRule="auto"/>
        <w:rPr>
          <w:rFonts w:asciiTheme="minorHAnsi" w:eastAsia="Aptos" w:hAnsiTheme="minorHAnsi" w:cstheme="minorHAnsi"/>
          <w:sz w:val="24"/>
          <w:szCs w:val="24"/>
        </w:rPr>
      </w:pPr>
      <w:r w:rsidRPr="005743DE">
        <w:rPr>
          <w:rFonts w:asciiTheme="minorHAnsi" w:eastAsia="Aptos" w:hAnsiTheme="minorHAnsi" w:cstheme="minorHAnsi"/>
          <w:sz w:val="24"/>
          <w:szCs w:val="24"/>
        </w:rPr>
        <w:t>The use of teacher model handwriting (KS1 pre-cursive /KS2 cursive) or any typed font is: Cursive CCW cursive writing 6 (Year 2) or XCCW joined 6A (KS2) or Sassoon font (EYFS &amp; Year 1) All fonts can be found on the Word and PowerPoint font drop down.</w:t>
      </w:r>
    </w:p>
    <w:p w14:paraId="6788B792" w14:textId="77777777" w:rsidR="005743DE" w:rsidRPr="005743DE" w:rsidRDefault="005743DE" w:rsidP="009214F1">
      <w:pPr>
        <w:pStyle w:val="ListParagraph"/>
        <w:numPr>
          <w:ilvl w:val="0"/>
          <w:numId w:val="3"/>
        </w:numPr>
        <w:spacing w:after="160" w:line="278" w:lineRule="auto"/>
        <w:rPr>
          <w:rFonts w:asciiTheme="minorHAnsi" w:hAnsiTheme="minorHAnsi" w:cstheme="minorHAnsi"/>
          <w:sz w:val="24"/>
          <w:szCs w:val="24"/>
        </w:rPr>
      </w:pPr>
      <w:r w:rsidRPr="005743DE">
        <w:rPr>
          <w:rFonts w:asciiTheme="minorHAnsi" w:hAnsiTheme="minorHAnsi" w:cstheme="minorHAnsi"/>
          <w:sz w:val="24"/>
          <w:szCs w:val="24"/>
        </w:rPr>
        <w:t xml:space="preserve">Artefacts that further support the learning are encouraged. </w:t>
      </w:r>
    </w:p>
    <w:p w14:paraId="02F75919" w14:textId="77777777" w:rsidR="005743DE" w:rsidRPr="005743DE" w:rsidRDefault="005743DE" w:rsidP="009214F1">
      <w:pPr>
        <w:pStyle w:val="ListParagraph"/>
        <w:numPr>
          <w:ilvl w:val="0"/>
          <w:numId w:val="3"/>
        </w:numPr>
        <w:spacing w:after="160" w:line="278" w:lineRule="auto"/>
        <w:rPr>
          <w:rFonts w:asciiTheme="minorHAnsi" w:hAnsiTheme="minorHAnsi" w:cstheme="minorHAnsi"/>
          <w:sz w:val="24"/>
          <w:szCs w:val="24"/>
        </w:rPr>
      </w:pPr>
      <w:r w:rsidRPr="005743DE">
        <w:rPr>
          <w:rFonts w:asciiTheme="minorHAnsi" w:hAnsiTheme="minorHAnsi" w:cstheme="minorHAnsi"/>
          <w:sz w:val="24"/>
          <w:szCs w:val="24"/>
        </w:rPr>
        <w:t>Twinkl and other generic resources should not feature unless it is a banner/title.</w:t>
      </w:r>
    </w:p>
    <w:p w14:paraId="6621CDA0" w14:textId="77777777" w:rsidR="005743DE" w:rsidRDefault="005743DE" w:rsidP="005743DE">
      <w:r>
        <w:t xml:space="preserve"> </w:t>
      </w:r>
    </w:p>
    <w:p w14:paraId="46B60112" w14:textId="77777777" w:rsidR="005743DE" w:rsidRDefault="005743DE" w:rsidP="00D114F7">
      <w:pPr>
        <w:rPr>
          <w:rFonts w:eastAsia="Calibri"/>
        </w:rPr>
      </w:pPr>
    </w:p>
    <w:p w14:paraId="45147771" w14:textId="77777777" w:rsidR="00D114F7" w:rsidRPr="00D114F7" w:rsidRDefault="00D114F7" w:rsidP="00D114F7">
      <w:pPr>
        <w:rPr>
          <w:rFonts w:eastAsia="Calibri"/>
        </w:rPr>
      </w:pPr>
    </w:p>
    <w:p w14:paraId="288E957B" w14:textId="4100104F" w:rsidR="00AA49FF" w:rsidRPr="002D5002" w:rsidRDefault="00C057D5" w:rsidP="009214F1">
      <w:pPr>
        <w:pStyle w:val="Heading1"/>
        <w:numPr>
          <w:ilvl w:val="0"/>
          <w:numId w:val="1"/>
        </w:numPr>
        <w:ind w:left="284"/>
        <w:rPr>
          <w:rFonts w:ascii="Arial" w:eastAsia="Calibri" w:hAnsi="Arial" w:cs="Arial"/>
          <w:b/>
          <w:color w:val="1F3864"/>
          <w:sz w:val="36"/>
          <w:szCs w:val="36"/>
        </w:rPr>
      </w:pPr>
      <w:r>
        <w:rPr>
          <w:rFonts w:ascii="Arial" w:eastAsia="Calibri" w:hAnsi="Arial" w:cs="Arial"/>
          <w:b/>
          <w:color w:val="1F3864"/>
          <w:sz w:val="36"/>
          <w:szCs w:val="36"/>
        </w:rPr>
        <w:t>Corridor displays</w:t>
      </w:r>
    </w:p>
    <w:p w14:paraId="07459315" w14:textId="77777777" w:rsidR="003F1321" w:rsidRDefault="003F1321" w:rsidP="005117E4">
      <w:pPr>
        <w:rPr>
          <w:rFonts w:ascii="Arial" w:eastAsia="Calibri" w:hAnsi="Arial" w:cs="Arial"/>
          <w:b/>
          <w:sz w:val="22"/>
          <w:szCs w:val="22"/>
        </w:rPr>
      </w:pPr>
    </w:p>
    <w:p w14:paraId="2CA67920" w14:textId="77777777" w:rsidR="006F5662" w:rsidRPr="006F5662" w:rsidRDefault="006F5662" w:rsidP="006F5662">
      <w:pPr>
        <w:rPr>
          <w:rFonts w:asciiTheme="minorHAnsi" w:hAnsiTheme="minorHAnsi" w:cstheme="minorHAnsi"/>
        </w:rPr>
      </w:pPr>
      <w:r w:rsidRPr="006F5662">
        <w:rPr>
          <w:rFonts w:asciiTheme="minorHAnsi" w:hAnsiTheme="minorHAnsi" w:cstheme="minorHAnsi"/>
        </w:rPr>
        <w:t>Display boards beyond the classroom may be a subject specific focus across the school or be part of a celebration of work that has happened as part of a themed event or a prior learning example from within the classroom.</w:t>
      </w:r>
    </w:p>
    <w:p w14:paraId="09817A19" w14:textId="77777777" w:rsidR="006F5662" w:rsidRPr="006F5662" w:rsidRDefault="006F5662" w:rsidP="006F5662">
      <w:pPr>
        <w:rPr>
          <w:rFonts w:asciiTheme="minorHAnsi" w:hAnsiTheme="minorHAnsi" w:cstheme="minorHAnsi"/>
        </w:rPr>
      </w:pPr>
      <w:r w:rsidRPr="006F5662">
        <w:rPr>
          <w:rFonts w:asciiTheme="minorHAnsi" w:hAnsiTheme="minorHAnsi" w:cstheme="minorHAnsi"/>
        </w:rPr>
        <w:t xml:space="preserve">Additional displays highlight pupil leadership and responsibility, including School Councillors, TfL Travel Ambassadors, RE Ambassadors and Eco-Warriors. All year groups are expected to display examples of high-quality writing in corridors each term, linked to a key text. </w:t>
      </w:r>
    </w:p>
    <w:p w14:paraId="4735D0C5" w14:textId="77777777" w:rsidR="006F5662" w:rsidRPr="006F5662" w:rsidRDefault="006F5662" w:rsidP="006F5662">
      <w:pPr>
        <w:rPr>
          <w:rFonts w:asciiTheme="minorHAnsi" w:hAnsiTheme="minorHAnsi" w:cstheme="minorHAnsi"/>
          <w:b/>
          <w:bCs/>
        </w:rPr>
      </w:pPr>
    </w:p>
    <w:p w14:paraId="7696FE8A" w14:textId="77777777" w:rsidR="006F5662" w:rsidRPr="006F5662" w:rsidRDefault="006F5662" w:rsidP="009214F1">
      <w:pPr>
        <w:pStyle w:val="ListParagraph"/>
        <w:numPr>
          <w:ilvl w:val="0"/>
          <w:numId w:val="3"/>
        </w:numPr>
        <w:spacing w:after="160" w:line="278" w:lineRule="auto"/>
        <w:rPr>
          <w:rFonts w:asciiTheme="minorHAnsi" w:hAnsiTheme="minorHAnsi" w:cstheme="minorHAnsi"/>
          <w:b/>
          <w:bCs/>
          <w:sz w:val="24"/>
          <w:szCs w:val="24"/>
        </w:rPr>
      </w:pPr>
      <w:r w:rsidRPr="006F5662">
        <w:rPr>
          <w:rFonts w:asciiTheme="minorHAnsi" w:hAnsiTheme="minorHAnsi" w:cstheme="minorHAnsi"/>
          <w:sz w:val="24"/>
          <w:szCs w:val="24"/>
        </w:rPr>
        <w:t>Boards should take into account the needs of pupils with visual stress, dyslexia, or other additional needs and the work celebrated should reflect the children. (</w:t>
      </w:r>
      <w:r w:rsidRPr="006F5662">
        <w:rPr>
          <w:rFonts w:asciiTheme="minorHAnsi" w:hAnsiTheme="minorHAnsi" w:cstheme="minorHAnsi"/>
          <w:b/>
          <w:bCs/>
          <w:sz w:val="24"/>
          <w:szCs w:val="24"/>
        </w:rPr>
        <w:t>no adult art work should be on a display)</w:t>
      </w:r>
    </w:p>
    <w:p w14:paraId="19AFE055" w14:textId="77777777" w:rsidR="006F5662" w:rsidRPr="006F5662" w:rsidRDefault="006F5662" w:rsidP="009214F1">
      <w:pPr>
        <w:pStyle w:val="ListParagraph"/>
        <w:numPr>
          <w:ilvl w:val="0"/>
          <w:numId w:val="3"/>
        </w:numPr>
        <w:spacing w:after="160" w:line="278" w:lineRule="auto"/>
        <w:rPr>
          <w:rFonts w:asciiTheme="minorHAnsi" w:hAnsiTheme="minorHAnsi" w:cstheme="minorHAnsi"/>
          <w:sz w:val="24"/>
          <w:szCs w:val="24"/>
        </w:rPr>
      </w:pPr>
      <w:r w:rsidRPr="006F5662">
        <w:rPr>
          <w:rFonts w:asciiTheme="minorHAnsi" w:hAnsiTheme="minorHAnsi" w:cstheme="minorHAnsi"/>
          <w:sz w:val="24"/>
          <w:szCs w:val="24"/>
        </w:rPr>
        <w:t xml:space="preserve">Display boards titles are clear and may use lettering or banner form. </w:t>
      </w:r>
    </w:p>
    <w:p w14:paraId="0B3DDB73" w14:textId="77777777" w:rsidR="006F5662" w:rsidRPr="006F5662" w:rsidRDefault="006F5662" w:rsidP="009214F1">
      <w:pPr>
        <w:pStyle w:val="ListParagraph"/>
        <w:numPr>
          <w:ilvl w:val="0"/>
          <w:numId w:val="3"/>
        </w:numPr>
        <w:spacing w:after="160" w:line="278" w:lineRule="auto"/>
        <w:rPr>
          <w:rFonts w:asciiTheme="minorHAnsi" w:hAnsiTheme="minorHAnsi" w:cstheme="minorHAnsi"/>
          <w:sz w:val="24"/>
          <w:szCs w:val="24"/>
        </w:rPr>
      </w:pPr>
      <w:r w:rsidRPr="006F5662">
        <w:rPr>
          <w:rFonts w:asciiTheme="minorHAnsi" w:hAnsiTheme="minorHAnsi" w:cstheme="minorHAnsi"/>
          <w:sz w:val="24"/>
          <w:szCs w:val="24"/>
        </w:rPr>
        <w:t>Display boards make use of hessian backgrounds</w:t>
      </w:r>
    </w:p>
    <w:p w14:paraId="5F187197" w14:textId="77777777" w:rsidR="006F5662" w:rsidRPr="006F5662" w:rsidRDefault="006F5662" w:rsidP="009214F1">
      <w:pPr>
        <w:pStyle w:val="ListParagraph"/>
        <w:numPr>
          <w:ilvl w:val="0"/>
          <w:numId w:val="3"/>
        </w:numPr>
        <w:spacing w:after="160" w:line="278" w:lineRule="auto"/>
        <w:rPr>
          <w:rFonts w:asciiTheme="minorHAnsi" w:hAnsiTheme="minorHAnsi" w:cstheme="minorHAnsi"/>
          <w:sz w:val="24"/>
          <w:szCs w:val="24"/>
        </w:rPr>
      </w:pPr>
      <w:r w:rsidRPr="006F5662">
        <w:rPr>
          <w:rFonts w:asciiTheme="minorHAnsi" w:hAnsiTheme="minorHAnsi" w:cstheme="minorHAnsi"/>
          <w:sz w:val="24"/>
          <w:szCs w:val="24"/>
        </w:rPr>
        <w:lastRenderedPageBreak/>
        <w:t xml:space="preserve">Where the children’s previous achievements are celebrated through the use of photos that share the process of learning, captured speech reflections, finished pieces of work that represent the children working within the year group / subject. </w:t>
      </w:r>
    </w:p>
    <w:p w14:paraId="47CA8B24" w14:textId="77777777" w:rsidR="006F5662" w:rsidRPr="006F5662" w:rsidRDefault="006F5662" w:rsidP="009214F1">
      <w:pPr>
        <w:pStyle w:val="ListParagraph"/>
        <w:numPr>
          <w:ilvl w:val="0"/>
          <w:numId w:val="3"/>
        </w:numPr>
        <w:spacing w:after="160" w:line="278" w:lineRule="auto"/>
        <w:rPr>
          <w:rFonts w:asciiTheme="minorHAnsi" w:hAnsiTheme="minorHAnsi" w:cstheme="minorHAnsi"/>
          <w:sz w:val="24"/>
          <w:szCs w:val="24"/>
        </w:rPr>
      </w:pPr>
      <w:r w:rsidRPr="006F5662">
        <w:rPr>
          <w:rFonts w:asciiTheme="minorHAnsi" w:hAnsiTheme="minorHAnsi" w:cstheme="minorHAnsi"/>
          <w:sz w:val="24"/>
          <w:szCs w:val="24"/>
        </w:rPr>
        <w:t>Display, including boarders, should be regularly reviewed as they can be damaged easily.</w:t>
      </w:r>
    </w:p>
    <w:p w14:paraId="4048C363" w14:textId="77777777" w:rsidR="006F5662" w:rsidRPr="006F5662" w:rsidRDefault="006F5662" w:rsidP="009214F1">
      <w:pPr>
        <w:pStyle w:val="ListParagraph"/>
        <w:numPr>
          <w:ilvl w:val="0"/>
          <w:numId w:val="3"/>
        </w:numPr>
        <w:spacing w:after="160" w:line="278" w:lineRule="auto"/>
        <w:rPr>
          <w:rFonts w:asciiTheme="minorHAnsi" w:hAnsiTheme="minorHAnsi" w:cstheme="minorHAnsi"/>
          <w:sz w:val="24"/>
          <w:szCs w:val="24"/>
        </w:rPr>
      </w:pPr>
      <w:r w:rsidRPr="006F5662">
        <w:rPr>
          <w:rFonts w:asciiTheme="minorHAnsi" w:hAnsiTheme="minorHAnsi" w:cstheme="minorHAnsi"/>
          <w:sz w:val="24"/>
          <w:szCs w:val="24"/>
        </w:rPr>
        <w:t xml:space="preserve">Children’s learning will be mounted onto black paper before being securely attached to the wall with staples put in at angles. </w:t>
      </w:r>
    </w:p>
    <w:p w14:paraId="427C889A" w14:textId="77777777" w:rsidR="006F5662" w:rsidRPr="006F5662" w:rsidRDefault="006F5662" w:rsidP="009214F1">
      <w:pPr>
        <w:pStyle w:val="ListParagraph"/>
        <w:numPr>
          <w:ilvl w:val="0"/>
          <w:numId w:val="3"/>
        </w:numPr>
        <w:spacing w:after="160" w:line="278" w:lineRule="auto"/>
        <w:rPr>
          <w:rFonts w:asciiTheme="minorHAnsi" w:hAnsiTheme="minorHAnsi" w:cstheme="minorHAnsi"/>
          <w:sz w:val="24"/>
          <w:szCs w:val="24"/>
        </w:rPr>
      </w:pPr>
      <w:r w:rsidRPr="006F5662">
        <w:rPr>
          <w:rFonts w:asciiTheme="minorHAnsi" w:hAnsiTheme="minorHAnsi" w:cstheme="minorHAnsi"/>
          <w:sz w:val="24"/>
          <w:szCs w:val="24"/>
        </w:rPr>
        <w:t xml:space="preserve">Names of children are clearly labelled on the work. </w:t>
      </w:r>
    </w:p>
    <w:p w14:paraId="3E915B68" w14:textId="77777777" w:rsidR="006F5662" w:rsidRPr="006F5662" w:rsidRDefault="006F5662" w:rsidP="009214F1">
      <w:pPr>
        <w:pStyle w:val="ListParagraph"/>
        <w:numPr>
          <w:ilvl w:val="0"/>
          <w:numId w:val="3"/>
        </w:numPr>
        <w:spacing w:after="160" w:line="278" w:lineRule="auto"/>
        <w:rPr>
          <w:rFonts w:asciiTheme="minorHAnsi" w:hAnsiTheme="minorHAnsi" w:cstheme="minorHAnsi"/>
          <w:sz w:val="24"/>
          <w:szCs w:val="24"/>
        </w:rPr>
      </w:pPr>
      <w:r w:rsidRPr="006F5662">
        <w:rPr>
          <w:rFonts w:asciiTheme="minorHAnsi" w:hAnsiTheme="minorHAnsi" w:cstheme="minorHAnsi"/>
          <w:sz w:val="24"/>
          <w:szCs w:val="24"/>
        </w:rPr>
        <w:t xml:space="preserve">Displays are encouraged to be interactive / 3D etc, so that the children are able to read them. </w:t>
      </w:r>
    </w:p>
    <w:p w14:paraId="696C67FD" w14:textId="77777777" w:rsidR="006F5662" w:rsidRPr="006F5662" w:rsidRDefault="006F5662" w:rsidP="009214F1">
      <w:pPr>
        <w:pStyle w:val="ListParagraph"/>
        <w:numPr>
          <w:ilvl w:val="0"/>
          <w:numId w:val="3"/>
        </w:numPr>
        <w:spacing w:after="160" w:line="278" w:lineRule="auto"/>
        <w:rPr>
          <w:rFonts w:asciiTheme="minorHAnsi" w:hAnsiTheme="minorHAnsi" w:cstheme="minorHAnsi"/>
          <w:sz w:val="24"/>
          <w:szCs w:val="24"/>
        </w:rPr>
      </w:pPr>
      <w:r w:rsidRPr="006F5662">
        <w:rPr>
          <w:rFonts w:asciiTheme="minorHAnsi" w:hAnsiTheme="minorHAnsi" w:cstheme="minorHAnsi"/>
          <w:sz w:val="24"/>
          <w:szCs w:val="24"/>
        </w:rPr>
        <w:t>A short explanation of the context / learning intention should be included (Appendix a)</w:t>
      </w:r>
    </w:p>
    <w:p w14:paraId="7EDE527D" w14:textId="77777777" w:rsidR="006F5662" w:rsidRPr="006F5662" w:rsidRDefault="006F5662" w:rsidP="009214F1">
      <w:pPr>
        <w:pStyle w:val="ListParagraph"/>
        <w:numPr>
          <w:ilvl w:val="0"/>
          <w:numId w:val="3"/>
        </w:numPr>
        <w:spacing w:after="160" w:line="278" w:lineRule="auto"/>
        <w:rPr>
          <w:rFonts w:asciiTheme="minorHAnsi" w:hAnsiTheme="minorHAnsi" w:cstheme="minorHAnsi"/>
          <w:sz w:val="24"/>
          <w:szCs w:val="24"/>
        </w:rPr>
      </w:pPr>
      <w:r w:rsidRPr="006F5662">
        <w:rPr>
          <w:rFonts w:asciiTheme="minorHAnsi" w:hAnsiTheme="minorHAnsi" w:cstheme="minorHAnsi"/>
          <w:sz w:val="24"/>
          <w:szCs w:val="24"/>
        </w:rPr>
        <w:t xml:space="preserve">Typed font to be used: Cursive CCW cursive writing 6 (Year 2) or </w:t>
      </w:r>
      <w:proofErr w:type="spellStart"/>
      <w:r w:rsidRPr="006F5662">
        <w:rPr>
          <w:rFonts w:asciiTheme="minorHAnsi" w:hAnsiTheme="minorHAnsi" w:cstheme="minorHAnsi"/>
          <w:sz w:val="24"/>
          <w:szCs w:val="24"/>
        </w:rPr>
        <w:t>xccw</w:t>
      </w:r>
      <w:proofErr w:type="spellEnd"/>
      <w:r w:rsidRPr="006F5662">
        <w:rPr>
          <w:rFonts w:asciiTheme="minorHAnsi" w:hAnsiTheme="minorHAnsi" w:cstheme="minorHAnsi"/>
          <w:sz w:val="24"/>
          <w:szCs w:val="24"/>
        </w:rPr>
        <w:t xml:space="preserve"> joined 6A (KS2 or </w:t>
      </w:r>
      <w:proofErr w:type="spellStart"/>
      <w:r w:rsidRPr="006F5662">
        <w:rPr>
          <w:rFonts w:asciiTheme="minorHAnsi" w:hAnsiTheme="minorHAnsi" w:cstheme="minorHAnsi"/>
          <w:sz w:val="24"/>
          <w:szCs w:val="24"/>
        </w:rPr>
        <w:t>sasoon</w:t>
      </w:r>
      <w:proofErr w:type="spellEnd"/>
      <w:r w:rsidRPr="006F5662">
        <w:rPr>
          <w:rFonts w:asciiTheme="minorHAnsi" w:hAnsiTheme="minorHAnsi" w:cstheme="minorHAnsi"/>
          <w:sz w:val="24"/>
          <w:szCs w:val="24"/>
        </w:rPr>
        <w:t xml:space="preserve"> font)</w:t>
      </w:r>
    </w:p>
    <w:p w14:paraId="320F6FBC" w14:textId="77777777" w:rsidR="006F5662" w:rsidRPr="006F5662" w:rsidRDefault="006F5662" w:rsidP="009214F1">
      <w:pPr>
        <w:pStyle w:val="ListParagraph"/>
        <w:numPr>
          <w:ilvl w:val="0"/>
          <w:numId w:val="3"/>
        </w:numPr>
        <w:spacing w:after="160" w:line="278" w:lineRule="auto"/>
        <w:rPr>
          <w:rFonts w:asciiTheme="minorHAnsi" w:hAnsiTheme="minorHAnsi" w:cstheme="minorHAnsi"/>
          <w:sz w:val="24"/>
          <w:szCs w:val="24"/>
        </w:rPr>
      </w:pPr>
      <w:r w:rsidRPr="006F5662">
        <w:rPr>
          <w:rFonts w:asciiTheme="minorHAnsi" w:hAnsiTheme="minorHAnsi" w:cstheme="minorHAnsi"/>
          <w:sz w:val="24"/>
          <w:szCs w:val="24"/>
        </w:rPr>
        <w:t>Twinkl and other generic resources should not feature unless it is a banner/title.</w:t>
      </w:r>
    </w:p>
    <w:p w14:paraId="7C719678" w14:textId="77777777" w:rsidR="006F5662" w:rsidRDefault="006F5662" w:rsidP="005117E4">
      <w:pPr>
        <w:rPr>
          <w:rFonts w:ascii="Arial" w:eastAsia="Calibri" w:hAnsi="Arial" w:cs="Arial"/>
          <w:b/>
          <w:sz w:val="22"/>
          <w:szCs w:val="22"/>
        </w:rPr>
      </w:pPr>
    </w:p>
    <w:p w14:paraId="1FF9981F" w14:textId="77777777" w:rsidR="00C057D5" w:rsidRDefault="00C057D5" w:rsidP="005117E4">
      <w:pPr>
        <w:rPr>
          <w:rFonts w:ascii="Arial" w:eastAsia="Calibri" w:hAnsi="Arial" w:cs="Arial"/>
          <w:b/>
          <w:sz w:val="22"/>
          <w:szCs w:val="22"/>
        </w:rPr>
      </w:pPr>
    </w:p>
    <w:p w14:paraId="071298B0" w14:textId="77777777" w:rsidR="00C057D5" w:rsidRPr="002D5002" w:rsidRDefault="00C057D5" w:rsidP="005117E4">
      <w:pPr>
        <w:rPr>
          <w:rFonts w:ascii="Arial" w:eastAsia="Calibri" w:hAnsi="Arial" w:cs="Arial"/>
          <w:b/>
          <w:sz w:val="22"/>
          <w:szCs w:val="22"/>
        </w:rPr>
      </w:pPr>
    </w:p>
    <w:p w14:paraId="70DF9E56" w14:textId="77777777" w:rsidR="00AA49FF" w:rsidRPr="002D5002" w:rsidRDefault="00AA49FF" w:rsidP="00AA49FF">
      <w:pPr>
        <w:rPr>
          <w:rFonts w:ascii="Arial" w:eastAsia="Calibri" w:hAnsi="Arial" w:cs="Arial"/>
          <w:b/>
          <w:sz w:val="22"/>
          <w:szCs w:val="22"/>
        </w:rPr>
      </w:pPr>
    </w:p>
    <w:p w14:paraId="27A6EE8F" w14:textId="2F473FB1" w:rsidR="00AA49FF" w:rsidRPr="002D5002" w:rsidRDefault="00D33E40" w:rsidP="009214F1">
      <w:pPr>
        <w:pStyle w:val="Heading1"/>
        <w:numPr>
          <w:ilvl w:val="0"/>
          <w:numId w:val="1"/>
        </w:numPr>
        <w:ind w:left="284"/>
        <w:rPr>
          <w:rFonts w:ascii="Arial" w:eastAsia="Calibri" w:hAnsi="Arial" w:cs="Arial"/>
          <w:b/>
          <w:color w:val="1F3864"/>
          <w:sz w:val="36"/>
          <w:szCs w:val="36"/>
        </w:rPr>
      </w:pPr>
      <w:r>
        <w:rPr>
          <w:rFonts w:ascii="Arial" w:eastAsia="Calibri" w:hAnsi="Arial" w:cs="Arial"/>
          <w:b/>
          <w:color w:val="1F3864"/>
          <w:sz w:val="36"/>
          <w:szCs w:val="36"/>
        </w:rPr>
        <w:t>Classroom Display Expectations by Subject</w:t>
      </w:r>
    </w:p>
    <w:p w14:paraId="44E871BC" w14:textId="77777777" w:rsidR="00AA49FF" w:rsidRPr="002D5002" w:rsidRDefault="00AA49FF" w:rsidP="005117E4">
      <w:pPr>
        <w:rPr>
          <w:rFonts w:ascii="Arial" w:eastAsia="Calibri" w:hAnsi="Arial" w:cs="Arial"/>
          <w:b/>
          <w:sz w:val="22"/>
          <w:szCs w:val="22"/>
        </w:rPr>
      </w:pPr>
    </w:p>
    <w:p w14:paraId="738610EB" w14:textId="77D1E353" w:rsidR="00AA49FF" w:rsidRPr="002D5002" w:rsidRDefault="003E630E" w:rsidP="00AA49FF">
      <w:pPr>
        <w:rPr>
          <w:rFonts w:ascii="Arial" w:eastAsia="Calibri" w:hAnsi="Arial" w:cs="Arial"/>
          <w:b/>
          <w:sz w:val="20"/>
          <w:szCs w:val="22"/>
        </w:rPr>
      </w:pPr>
      <w:r w:rsidRPr="003E630E">
        <w:lastRenderedPageBreak/>
        <w:drawing>
          <wp:inline distT="0" distB="0" distL="0" distR="0" wp14:anchorId="05BC4844" wp14:editId="37DA651A">
            <wp:extent cx="5731510" cy="56553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655310"/>
                    </a:xfrm>
                    <a:prstGeom prst="rect">
                      <a:avLst/>
                    </a:prstGeom>
                    <a:noFill/>
                    <a:ln>
                      <a:noFill/>
                    </a:ln>
                  </pic:spPr>
                </pic:pic>
              </a:graphicData>
            </a:graphic>
          </wp:inline>
        </w:drawing>
      </w:r>
    </w:p>
    <w:p w14:paraId="395C7F8B" w14:textId="6B06C991" w:rsidR="00AA49FF" w:rsidRDefault="00AA49FF" w:rsidP="008856A1">
      <w:pPr>
        <w:pStyle w:val="Heading1"/>
        <w:rPr>
          <w:rFonts w:ascii="Arial" w:eastAsia="Calibri" w:hAnsi="Arial" w:cs="Arial"/>
          <w:b/>
          <w:color w:val="1F3864"/>
          <w:sz w:val="36"/>
          <w:szCs w:val="36"/>
        </w:rPr>
      </w:pPr>
      <w:bookmarkStart w:id="3" w:name="_Toc181879422"/>
      <w:r w:rsidRPr="002D5002">
        <w:rPr>
          <w:rFonts w:ascii="Arial" w:eastAsia="Calibri" w:hAnsi="Arial" w:cs="Arial"/>
          <w:b/>
          <w:color w:val="1F3864"/>
          <w:sz w:val="36"/>
          <w:szCs w:val="36"/>
        </w:rPr>
        <w:t>A</w:t>
      </w:r>
      <w:bookmarkEnd w:id="3"/>
      <w:r w:rsidR="008856A1">
        <w:rPr>
          <w:rFonts w:ascii="Arial" w:eastAsia="Calibri" w:hAnsi="Arial" w:cs="Arial"/>
          <w:b/>
          <w:color w:val="1F3864"/>
          <w:sz w:val="36"/>
          <w:szCs w:val="36"/>
        </w:rPr>
        <w:t>ppendix</w:t>
      </w:r>
    </w:p>
    <w:p w14:paraId="42B2D096" w14:textId="77777777" w:rsidR="009214F1" w:rsidRDefault="009214F1" w:rsidP="009214F1">
      <w:pPr>
        <w:rPr>
          <w:rFonts w:eastAsia="Calibri"/>
        </w:rPr>
      </w:pPr>
    </w:p>
    <w:p w14:paraId="05622744" w14:textId="77777777" w:rsidR="009214F1" w:rsidRDefault="009214F1" w:rsidP="009214F1">
      <w:r>
        <w:t>Appendix A (context template for corridor displays)</w:t>
      </w:r>
    </w:p>
    <w:p w14:paraId="6091981A" w14:textId="77777777" w:rsidR="008856A1" w:rsidRDefault="008856A1" w:rsidP="008856A1">
      <w:pPr>
        <w:rPr>
          <w:rFonts w:eastAsia="Calibri"/>
        </w:rPr>
      </w:pPr>
    </w:p>
    <w:p w14:paraId="25F26777" w14:textId="493FBEDE" w:rsidR="008856A1" w:rsidRPr="008856A1" w:rsidRDefault="007D78A6" w:rsidP="008856A1">
      <w:pPr>
        <w:rPr>
          <w:rFonts w:eastAsia="Calibri"/>
        </w:rPr>
      </w:pPr>
      <w:r>
        <w:rPr>
          <w:noProof/>
        </w:rPr>
        <w:drawing>
          <wp:inline distT="0" distB="0" distL="0" distR="0" wp14:anchorId="2D8A1ECB" wp14:editId="26CC2AEA">
            <wp:extent cx="5724525" cy="1962150"/>
            <wp:effectExtent l="38100" t="38100" r="38100" b="38100"/>
            <wp:docPr id="5081678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67887" name="Picture 508167887"/>
                    <pic:cNvPicPr/>
                  </pic:nvPicPr>
                  <pic:blipFill>
                    <a:blip r:embed="rId13">
                      <a:extLst>
                        <a:ext uri="{28A0092B-C50C-407E-A947-70E740481C1C}">
                          <a14:useLocalDpi xmlns:a14="http://schemas.microsoft.com/office/drawing/2010/main"/>
                        </a:ext>
                      </a:extLst>
                    </a:blip>
                    <a:stretch>
                      <a:fillRect/>
                    </a:stretch>
                  </pic:blipFill>
                  <pic:spPr>
                    <a:xfrm>
                      <a:off x="0" y="0"/>
                      <a:ext cx="5724525" cy="1962150"/>
                    </a:xfrm>
                    <a:prstGeom prst="rect">
                      <a:avLst/>
                    </a:prstGeom>
                    <a:ln w="38100">
                      <a:solidFill>
                        <a:schemeClr val="tx2"/>
                      </a:solidFill>
                      <a:prstDash val="solid"/>
                    </a:ln>
                  </pic:spPr>
                </pic:pic>
              </a:graphicData>
            </a:graphic>
          </wp:inline>
        </w:drawing>
      </w:r>
    </w:p>
    <w:sectPr w:rsidR="008856A1" w:rsidRPr="008856A1" w:rsidSect="003E2796">
      <w:headerReference w:type="even" r:id="rId14"/>
      <w:headerReference w:type="default" r:id="rId15"/>
      <w:footerReference w:type="even" r:id="rId16"/>
      <w:footerReference w:type="default" r:id="rId17"/>
      <w:headerReference w:type="first" r:id="rId18"/>
      <w:footerReference w:type="first" r:id="rId19"/>
      <w:pgSz w:w="11906" w:h="16838"/>
      <w:pgMar w:top="568"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C864" w14:textId="77777777" w:rsidR="00171FC4" w:rsidRDefault="00171FC4" w:rsidP="00502DF6">
      <w:r>
        <w:separator/>
      </w:r>
    </w:p>
  </w:endnote>
  <w:endnote w:type="continuationSeparator" w:id="0">
    <w:p w14:paraId="6401148F" w14:textId="77777777" w:rsidR="00171FC4" w:rsidRDefault="00171FC4" w:rsidP="005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9836" w14:textId="77777777" w:rsidR="0064793A" w:rsidRDefault="00647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91417"/>
      <w:docPartObj>
        <w:docPartGallery w:val="Page Numbers (Bottom of Page)"/>
        <w:docPartUnique/>
      </w:docPartObj>
    </w:sdtPr>
    <w:sdtEndPr>
      <w:rPr>
        <w:color w:val="7F7F7F" w:themeColor="background1" w:themeShade="7F"/>
        <w:spacing w:val="60"/>
      </w:rPr>
    </w:sdtEndPr>
    <w:sdtContent>
      <w:p w14:paraId="2822C5A4" w14:textId="0DFDD07C" w:rsidR="0064793A" w:rsidRDefault="0064793A" w:rsidP="00ED527E">
        <w:pPr>
          <w:pStyle w:val="Footer"/>
          <w:pBdr>
            <w:top w:val="single" w:sz="4" w:space="1" w:color="D9D9D9" w:themeColor="background1" w:themeShade="D9"/>
          </w:pBdr>
          <w:jc w:val="right"/>
        </w:pPr>
        <w:r w:rsidRPr="00502DF6">
          <w:rPr>
            <w:rFonts w:asciiTheme="minorHAnsi" w:hAnsiTheme="minorHAnsi" w:cstheme="minorHAnsi"/>
          </w:rPr>
          <w:fldChar w:fldCharType="begin"/>
        </w:r>
        <w:r w:rsidRPr="00502DF6">
          <w:rPr>
            <w:rFonts w:asciiTheme="minorHAnsi" w:hAnsiTheme="minorHAnsi" w:cstheme="minorHAnsi"/>
          </w:rPr>
          <w:instrText xml:space="preserve"> PAGE   \* MERGEFORMAT </w:instrText>
        </w:r>
        <w:r w:rsidRPr="00502DF6">
          <w:rPr>
            <w:rFonts w:asciiTheme="minorHAnsi" w:hAnsiTheme="minorHAnsi" w:cstheme="minorHAnsi"/>
          </w:rPr>
          <w:fldChar w:fldCharType="separate"/>
        </w:r>
        <w:r w:rsidR="00A30518">
          <w:rPr>
            <w:rFonts w:asciiTheme="minorHAnsi" w:hAnsiTheme="minorHAnsi" w:cstheme="minorHAnsi"/>
            <w:noProof/>
          </w:rPr>
          <w:t>1</w:t>
        </w:r>
        <w:r w:rsidRPr="00502DF6">
          <w:rPr>
            <w:rFonts w:asciiTheme="minorHAnsi" w:hAnsiTheme="minorHAnsi" w:cstheme="minorHAnsi"/>
            <w:noProof/>
          </w:rPr>
          <w:fldChar w:fldCharType="end"/>
        </w:r>
        <w:r w:rsidRPr="00502DF6">
          <w:rPr>
            <w:rFonts w:asciiTheme="minorHAnsi" w:hAnsiTheme="minorHAnsi" w:cstheme="minorHAnsi"/>
          </w:rPr>
          <w:t xml:space="preserve"> | </w:t>
        </w:r>
        <w:r w:rsidRPr="00502DF6">
          <w:rPr>
            <w:rFonts w:asciiTheme="minorHAnsi" w:hAnsiTheme="minorHAnsi" w:cstheme="minorHAnsi"/>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64793A" w:rsidRDefault="0064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396C" w14:textId="77777777" w:rsidR="00171FC4" w:rsidRDefault="00171FC4" w:rsidP="00502DF6">
      <w:r>
        <w:separator/>
      </w:r>
    </w:p>
  </w:footnote>
  <w:footnote w:type="continuationSeparator" w:id="0">
    <w:p w14:paraId="67A1DD2C" w14:textId="77777777" w:rsidR="00171FC4" w:rsidRDefault="00171FC4" w:rsidP="0050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4FF1" w14:textId="77777777" w:rsidR="0064793A" w:rsidRDefault="00000000">
    <w:pPr>
      <w:pStyle w:val="Header"/>
    </w:pPr>
    <w:r>
      <w:rPr>
        <w:noProof/>
      </w:rPr>
      <w:pict w14:anchorId="4D94A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5505922" o:spid="_x0000_s1026" type="#_x0000_t75" style="position:absolute;margin-left:0;margin-top:0;width:451.2pt;height:451.2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64793A" w:rsidRDefault="00000000">
    <w:pPr>
      <w:pStyle w:val="Header"/>
    </w:pPr>
    <w:r>
      <w:rPr>
        <w:noProof/>
      </w:rPr>
      <w:pict w14:anchorId="34794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5505923" o:spid="_x0000_s1027" type="#_x0000_t75" style="position:absolute;margin-left:0;margin-top:0;width:451.2pt;height:451.2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B5B7" w14:textId="77777777" w:rsidR="0064793A" w:rsidRDefault="00000000">
    <w:pPr>
      <w:pStyle w:val="Header"/>
    </w:pPr>
    <w:r>
      <w:rPr>
        <w:noProof/>
      </w:rPr>
      <w:pict w14:anchorId="0FC43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5505921" o:spid="_x0000_s1025" type="#_x0000_t75" style="position:absolute;margin-left:0;margin-top:0;width:451.2pt;height:451.2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209.5pt;height:332pt" o:bullet="t">
        <v:imagedata r:id="rId1" o:title="TK_LOGO_POINTER_RGB_bullet_blue"/>
      </v:shape>
    </w:pict>
  </w:numPicBullet>
  <w:abstractNum w:abstractNumId="0" w15:restartNumberingAfterBreak="0">
    <w:nsid w:val="52AC5C83"/>
    <w:multiLevelType w:val="hybridMultilevel"/>
    <w:tmpl w:val="2AB85308"/>
    <w:lvl w:ilvl="0" w:tplc="64CAF9B4">
      <w:start w:val="3"/>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FB5309"/>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5845579">
    <w:abstractNumId w:val="1"/>
  </w:num>
  <w:num w:numId="2" w16cid:durableId="39016468">
    <w:abstractNumId w:val="2"/>
  </w:num>
  <w:num w:numId="3" w16cid:durableId="202212398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0E"/>
    <w:rsid w:val="00041E71"/>
    <w:rsid w:val="000531FD"/>
    <w:rsid w:val="000568B5"/>
    <w:rsid w:val="000E10E8"/>
    <w:rsid w:val="000F2A26"/>
    <w:rsid w:val="000F4790"/>
    <w:rsid w:val="00171FC4"/>
    <w:rsid w:val="001939C6"/>
    <w:rsid w:val="001C372F"/>
    <w:rsid w:val="001C63E9"/>
    <w:rsid w:val="001E7751"/>
    <w:rsid w:val="001F204F"/>
    <w:rsid w:val="001F43D6"/>
    <w:rsid w:val="001F5D12"/>
    <w:rsid w:val="00204C67"/>
    <w:rsid w:val="00223059"/>
    <w:rsid w:val="00260897"/>
    <w:rsid w:val="00265A37"/>
    <w:rsid w:val="002C4B6A"/>
    <w:rsid w:val="002D5002"/>
    <w:rsid w:val="002E129B"/>
    <w:rsid w:val="002E1C6D"/>
    <w:rsid w:val="002F2ED9"/>
    <w:rsid w:val="002F596F"/>
    <w:rsid w:val="0038079F"/>
    <w:rsid w:val="00383AD3"/>
    <w:rsid w:val="003A6F25"/>
    <w:rsid w:val="003B1E14"/>
    <w:rsid w:val="003E2796"/>
    <w:rsid w:val="003E630E"/>
    <w:rsid w:val="003F1321"/>
    <w:rsid w:val="004057C8"/>
    <w:rsid w:val="00441F3D"/>
    <w:rsid w:val="004A42DF"/>
    <w:rsid w:val="004C1AB1"/>
    <w:rsid w:val="004F0FE8"/>
    <w:rsid w:val="004F54F4"/>
    <w:rsid w:val="00502DF6"/>
    <w:rsid w:val="00506AF7"/>
    <w:rsid w:val="005117E4"/>
    <w:rsid w:val="0053013D"/>
    <w:rsid w:val="005743DE"/>
    <w:rsid w:val="00587D56"/>
    <w:rsid w:val="005A5CAD"/>
    <w:rsid w:val="00632EA0"/>
    <w:rsid w:val="00635A16"/>
    <w:rsid w:val="0064793A"/>
    <w:rsid w:val="00676477"/>
    <w:rsid w:val="006950BB"/>
    <w:rsid w:val="006C490D"/>
    <w:rsid w:val="006D0586"/>
    <w:rsid w:val="006E470E"/>
    <w:rsid w:val="006F0D0B"/>
    <w:rsid w:val="006F5662"/>
    <w:rsid w:val="00701BFD"/>
    <w:rsid w:val="007249A9"/>
    <w:rsid w:val="0073481E"/>
    <w:rsid w:val="007654EF"/>
    <w:rsid w:val="0077529D"/>
    <w:rsid w:val="007B7F92"/>
    <w:rsid w:val="007D78A6"/>
    <w:rsid w:val="00805019"/>
    <w:rsid w:val="00806028"/>
    <w:rsid w:val="008217D3"/>
    <w:rsid w:val="00837EBD"/>
    <w:rsid w:val="00861144"/>
    <w:rsid w:val="008856A1"/>
    <w:rsid w:val="0090696B"/>
    <w:rsid w:val="00910B9C"/>
    <w:rsid w:val="009214F1"/>
    <w:rsid w:val="009511AE"/>
    <w:rsid w:val="0096046D"/>
    <w:rsid w:val="009B282B"/>
    <w:rsid w:val="009E2736"/>
    <w:rsid w:val="009F121D"/>
    <w:rsid w:val="009F560E"/>
    <w:rsid w:val="00A0555F"/>
    <w:rsid w:val="00A24157"/>
    <w:rsid w:val="00A25525"/>
    <w:rsid w:val="00A30518"/>
    <w:rsid w:val="00A410A6"/>
    <w:rsid w:val="00A879F1"/>
    <w:rsid w:val="00A87EC9"/>
    <w:rsid w:val="00AA49FF"/>
    <w:rsid w:val="00AD55F3"/>
    <w:rsid w:val="00B62055"/>
    <w:rsid w:val="00B721AE"/>
    <w:rsid w:val="00C00FD2"/>
    <w:rsid w:val="00C04761"/>
    <w:rsid w:val="00C057D5"/>
    <w:rsid w:val="00C20A8C"/>
    <w:rsid w:val="00C511B5"/>
    <w:rsid w:val="00C83B2F"/>
    <w:rsid w:val="00CA3204"/>
    <w:rsid w:val="00CD312F"/>
    <w:rsid w:val="00CF05BD"/>
    <w:rsid w:val="00CF0E7F"/>
    <w:rsid w:val="00D114F7"/>
    <w:rsid w:val="00D33E40"/>
    <w:rsid w:val="00D6663B"/>
    <w:rsid w:val="00D8490D"/>
    <w:rsid w:val="00D9163D"/>
    <w:rsid w:val="00D94FF1"/>
    <w:rsid w:val="00DA1AA1"/>
    <w:rsid w:val="00DB0D97"/>
    <w:rsid w:val="00DC1430"/>
    <w:rsid w:val="00DD61A9"/>
    <w:rsid w:val="00E22FB8"/>
    <w:rsid w:val="00E3777B"/>
    <w:rsid w:val="00EB03F7"/>
    <w:rsid w:val="00EB2450"/>
    <w:rsid w:val="00EC2E89"/>
    <w:rsid w:val="00ED2E56"/>
    <w:rsid w:val="00ED527E"/>
    <w:rsid w:val="00EF389E"/>
    <w:rsid w:val="00F30B56"/>
    <w:rsid w:val="00F456C4"/>
    <w:rsid w:val="00F67E52"/>
    <w:rsid w:val="00F74A8B"/>
    <w:rsid w:val="00F8247A"/>
    <w:rsid w:val="00F9734A"/>
    <w:rsid w:val="00FF33A0"/>
    <w:rsid w:val="00FF6423"/>
    <w:rsid w:val="01540CC8"/>
    <w:rsid w:val="01B0C592"/>
    <w:rsid w:val="01EDCEF7"/>
    <w:rsid w:val="03001C6A"/>
    <w:rsid w:val="03EB8B3A"/>
    <w:rsid w:val="05D62FFC"/>
    <w:rsid w:val="06D2BADD"/>
    <w:rsid w:val="07113957"/>
    <w:rsid w:val="078CFA8E"/>
    <w:rsid w:val="08226FA7"/>
    <w:rsid w:val="0997B928"/>
    <w:rsid w:val="0A666AD0"/>
    <w:rsid w:val="0B5A5EE3"/>
    <w:rsid w:val="0C29552C"/>
    <w:rsid w:val="0CE0C82A"/>
    <w:rsid w:val="0CF9CB64"/>
    <w:rsid w:val="0E2C600D"/>
    <w:rsid w:val="0FFF9496"/>
    <w:rsid w:val="11710381"/>
    <w:rsid w:val="11A39AE1"/>
    <w:rsid w:val="1221C627"/>
    <w:rsid w:val="12AFCD1B"/>
    <w:rsid w:val="12CB302E"/>
    <w:rsid w:val="1743F570"/>
    <w:rsid w:val="175F78AB"/>
    <w:rsid w:val="17B9E700"/>
    <w:rsid w:val="18CFC6EF"/>
    <w:rsid w:val="1A3ED899"/>
    <w:rsid w:val="1B4112ED"/>
    <w:rsid w:val="1DF73A6C"/>
    <w:rsid w:val="1E7454F3"/>
    <w:rsid w:val="206D7851"/>
    <w:rsid w:val="226DD92B"/>
    <w:rsid w:val="23C90BB8"/>
    <w:rsid w:val="23DE5EFF"/>
    <w:rsid w:val="2498001E"/>
    <w:rsid w:val="278DBC96"/>
    <w:rsid w:val="27DB7044"/>
    <w:rsid w:val="284F2F21"/>
    <w:rsid w:val="29889DB2"/>
    <w:rsid w:val="2C3CCF7B"/>
    <w:rsid w:val="2CD035DE"/>
    <w:rsid w:val="2D7BD73B"/>
    <w:rsid w:val="303B9FAC"/>
    <w:rsid w:val="30A2EABC"/>
    <w:rsid w:val="31FD136F"/>
    <w:rsid w:val="3204CFD1"/>
    <w:rsid w:val="32B8D77C"/>
    <w:rsid w:val="348325D0"/>
    <w:rsid w:val="35AC91C0"/>
    <w:rsid w:val="360DA6A2"/>
    <w:rsid w:val="379A9B18"/>
    <w:rsid w:val="39899E5A"/>
    <w:rsid w:val="39E29A6C"/>
    <w:rsid w:val="3D9C278A"/>
    <w:rsid w:val="3DAD29B2"/>
    <w:rsid w:val="3E5449C2"/>
    <w:rsid w:val="4025FAE2"/>
    <w:rsid w:val="40293DBC"/>
    <w:rsid w:val="40626BA8"/>
    <w:rsid w:val="42A81271"/>
    <w:rsid w:val="43D5F58A"/>
    <w:rsid w:val="4A6AA8A9"/>
    <w:rsid w:val="4A9DA9B1"/>
    <w:rsid w:val="4ADC3C76"/>
    <w:rsid w:val="4C74509E"/>
    <w:rsid w:val="4D566399"/>
    <w:rsid w:val="4F0CE7D5"/>
    <w:rsid w:val="4FB91197"/>
    <w:rsid w:val="500607B7"/>
    <w:rsid w:val="50109FC4"/>
    <w:rsid w:val="50130C47"/>
    <w:rsid w:val="50FB27C4"/>
    <w:rsid w:val="51A11AFB"/>
    <w:rsid w:val="5388639E"/>
    <w:rsid w:val="53FDFB96"/>
    <w:rsid w:val="53FE8847"/>
    <w:rsid w:val="56B7023B"/>
    <w:rsid w:val="5714A47E"/>
    <w:rsid w:val="57597E1C"/>
    <w:rsid w:val="584F33D2"/>
    <w:rsid w:val="5885BD06"/>
    <w:rsid w:val="591A6D66"/>
    <w:rsid w:val="5A449D69"/>
    <w:rsid w:val="5AEFC244"/>
    <w:rsid w:val="5B64DBDE"/>
    <w:rsid w:val="5D293EC9"/>
    <w:rsid w:val="5D740D5D"/>
    <w:rsid w:val="5DB5EC9A"/>
    <w:rsid w:val="5EA5D747"/>
    <w:rsid w:val="6239A8B8"/>
    <w:rsid w:val="6264112B"/>
    <w:rsid w:val="6391BBDA"/>
    <w:rsid w:val="641F3190"/>
    <w:rsid w:val="64C52979"/>
    <w:rsid w:val="6568383A"/>
    <w:rsid w:val="657156F9"/>
    <w:rsid w:val="65BDB4DD"/>
    <w:rsid w:val="663CAE3A"/>
    <w:rsid w:val="6A2EB783"/>
    <w:rsid w:val="6A90AF32"/>
    <w:rsid w:val="6AB71360"/>
    <w:rsid w:val="6C1D4E45"/>
    <w:rsid w:val="6CFBF280"/>
    <w:rsid w:val="6D5F618D"/>
    <w:rsid w:val="6E2DED72"/>
    <w:rsid w:val="6E414780"/>
    <w:rsid w:val="6EC57ADB"/>
    <w:rsid w:val="6F503C61"/>
    <w:rsid w:val="730CCCB2"/>
    <w:rsid w:val="76FB0683"/>
    <w:rsid w:val="77940D0F"/>
    <w:rsid w:val="79303857"/>
    <w:rsid w:val="79404F6A"/>
    <w:rsid w:val="79C88749"/>
    <w:rsid w:val="7A21E46F"/>
    <w:rsid w:val="7ACE6424"/>
    <w:rsid w:val="7AEB4E23"/>
    <w:rsid w:val="7C002FDC"/>
    <w:rsid w:val="7C0E5A0C"/>
    <w:rsid w:val="7CA5F489"/>
    <w:rsid w:val="7DBDF457"/>
    <w:rsid w:val="7DEF1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39555"/>
  <w15:docId w15:val="{1883BB36-3E22-40BE-A385-28538AFB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89"/>
  </w:style>
  <w:style w:type="paragraph" w:styleId="Heading1">
    <w:name w:val="heading 1"/>
    <w:basedOn w:val="Normal"/>
    <w:next w:val="Normal"/>
    <w:link w:val="Heading1Char"/>
    <w:uiPriority w:val="9"/>
    <w:qFormat/>
    <w:rsid w:val="000F77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721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721CD"/>
    <w:pPr>
      <w:widowControl w:val="0"/>
      <w:ind w:left="246"/>
      <w:outlineLvl w:val="2"/>
    </w:pPr>
    <w:rPr>
      <w:rFonts w:cstheme="minorBidi"/>
      <w:b/>
      <w:bCs/>
      <w:u w:val="single"/>
      <w:lang w:val="en-US" w:eastAsia="en-U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B15E89"/>
    <w:pPr>
      <w:spacing w:after="120"/>
    </w:pPr>
  </w:style>
  <w:style w:type="character" w:customStyle="1" w:styleId="BodyTextChar">
    <w:name w:val="Body Text Char"/>
    <w:basedOn w:val="DefaultParagraphFont"/>
    <w:link w:val="BodyText"/>
    <w:rsid w:val="00B15E89"/>
    <w:rPr>
      <w:rFonts w:ascii="Times New Roman" w:eastAsia="Times New Roman" w:hAnsi="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customStyle="1" w:styleId="BodyText2Char">
    <w:name w:val="Body Text 2 Char"/>
    <w:basedOn w:val="DefaultParagraphFont"/>
    <w:link w:val="BodyText2"/>
    <w:rsid w:val="00B15E89"/>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1"/>
    <w:rsid w:val="008721CD"/>
    <w:rPr>
      <w:rFonts w:ascii="Times New Roman" w:eastAsia="Times New Roman" w:hAnsi="Times New Roman"/>
      <w:b/>
      <w:bCs/>
      <w:sz w:val="24"/>
      <w:szCs w:val="24"/>
      <w:u w:val="single"/>
      <w:lang w:val="en-US"/>
    </w:rPr>
  </w:style>
  <w:style w:type="character" w:customStyle="1" w:styleId="Heading2Char">
    <w:name w:val="Heading 2 Char"/>
    <w:basedOn w:val="DefaultParagraphFont"/>
    <w:link w:val="Heading2"/>
    <w:uiPriority w:val="9"/>
    <w:semiHidden/>
    <w:rsid w:val="008721CD"/>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uiPriority w:val="34"/>
    <w:qFormat/>
    <w:rsid w:val="00B048BA"/>
    <w:pPr>
      <w:ind w:left="720"/>
      <w:contextualSpacing/>
    </w:pPr>
    <w:rPr>
      <w:sz w:val="20"/>
      <w:szCs w:val="20"/>
      <w:lang w:eastAsia="en-US"/>
    </w:rPr>
  </w:style>
  <w:style w:type="character" w:customStyle="1" w:styleId="Heading1Char">
    <w:name w:val="Heading 1 Char"/>
    <w:basedOn w:val="DefaultParagraphFont"/>
    <w:link w:val="Heading1"/>
    <w:uiPriority w:val="9"/>
    <w:rsid w:val="000F776F"/>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87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FC4"/>
    <w:rPr>
      <w:rFonts w:ascii="Segoe UI" w:eastAsia="Times New Roman" w:hAnsi="Segoe UI" w:cs="Segoe UI"/>
      <w:sz w:val="18"/>
      <w:szCs w:val="1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02DF6"/>
    <w:pPr>
      <w:tabs>
        <w:tab w:val="center" w:pos="4513"/>
        <w:tab w:val="right" w:pos="9026"/>
      </w:tabs>
    </w:pPr>
  </w:style>
  <w:style w:type="character" w:customStyle="1" w:styleId="HeaderChar">
    <w:name w:val="Header Char"/>
    <w:basedOn w:val="DefaultParagraphFont"/>
    <w:link w:val="Header"/>
    <w:uiPriority w:val="99"/>
    <w:rsid w:val="00502DF6"/>
  </w:style>
  <w:style w:type="paragraph" w:styleId="Footer">
    <w:name w:val="footer"/>
    <w:basedOn w:val="Normal"/>
    <w:link w:val="FooterChar"/>
    <w:uiPriority w:val="99"/>
    <w:unhideWhenUsed/>
    <w:rsid w:val="00502DF6"/>
    <w:pPr>
      <w:tabs>
        <w:tab w:val="center" w:pos="4513"/>
        <w:tab w:val="right" w:pos="9026"/>
      </w:tabs>
    </w:pPr>
  </w:style>
  <w:style w:type="character" w:customStyle="1" w:styleId="FooterChar">
    <w:name w:val="Footer Char"/>
    <w:basedOn w:val="DefaultParagraphFont"/>
    <w:link w:val="Footer"/>
    <w:uiPriority w:val="99"/>
    <w:rsid w:val="00502DF6"/>
  </w:style>
  <w:style w:type="paragraph" w:styleId="TOC1">
    <w:name w:val="toc 1"/>
    <w:basedOn w:val="Normal"/>
    <w:next w:val="Normal"/>
    <w:autoRedefine/>
    <w:uiPriority w:val="39"/>
    <w:unhideWhenUsed/>
    <w:qFormat/>
    <w:rsid w:val="006E470E"/>
    <w:pPr>
      <w:tabs>
        <w:tab w:val="right" w:leader="dot" w:pos="9338"/>
      </w:tabs>
      <w:spacing w:before="120" w:after="120"/>
    </w:pPr>
    <w:rPr>
      <w:rFonts w:ascii="Arial" w:eastAsia="MS Mincho" w:hAnsi="Arial"/>
      <w:sz w:val="22"/>
      <w:lang w:eastAsia="en-US"/>
    </w:rPr>
  </w:style>
  <w:style w:type="paragraph" w:customStyle="1" w:styleId="Caption1">
    <w:name w:val="Caption 1"/>
    <w:basedOn w:val="Normal"/>
    <w:qFormat/>
    <w:rsid w:val="006E470E"/>
    <w:pPr>
      <w:spacing w:before="120" w:after="120"/>
    </w:pPr>
    <w:rPr>
      <w:rFonts w:ascii="Arial" w:eastAsia="MS Mincho" w:hAnsi="Arial"/>
      <w:i/>
      <w:color w:val="F15F22"/>
      <w:sz w:val="20"/>
      <w:lang w:eastAsia="en-US"/>
    </w:rPr>
  </w:style>
  <w:style w:type="character" w:customStyle="1" w:styleId="ms-rteforecolor-3">
    <w:name w:val="ms-rteforecolor-3"/>
    <w:rsid w:val="006E470E"/>
  </w:style>
  <w:style w:type="character" w:customStyle="1" w:styleId="ms-rtethemeforecolor-1-5">
    <w:name w:val="ms-rtethemeforecolor-1-5"/>
    <w:rsid w:val="006E470E"/>
  </w:style>
  <w:style w:type="paragraph" w:customStyle="1" w:styleId="1bodycopy10pt">
    <w:name w:val="1 body copy 10pt"/>
    <w:basedOn w:val="Normal"/>
    <w:link w:val="1bodycopy10ptChar"/>
    <w:qFormat/>
    <w:rsid w:val="00AA49FF"/>
    <w:pPr>
      <w:spacing w:after="120"/>
    </w:pPr>
    <w:rPr>
      <w:rFonts w:ascii="Arial" w:eastAsia="MS Mincho" w:hAnsi="Arial"/>
      <w:sz w:val="20"/>
      <w:lang w:eastAsia="en-US"/>
    </w:rPr>
  </w:style>
  <w:style w:type="character" w:customStyle="1" w:styleId="1bodycopy10ptChar">
    <w:name w:val="1 body copy 10pt Char"/>
    <w:link w:val="1bodycopy10pt"/>
    <w:rsid w:val="00AA49FF"/>
    <w:rPr>
      <w:rFonts w:ascii="Arial" w:eastAsia="MS Mincho" w:hAnsi="Arial"/>
      <w:sz w:val="20"/>
      <w:lang w:eastAsia="en-US"/>
    </w:rPr>
  </w:style>
  <w:style w:type="paragraph" w:customStyle="1" w:styleId="4Bulletedcopyblue">
    <w:name w:val="4 Bulleted copy blue"/>
    <w:basedOn w:val="Normal"/>
    <w:qFormat/>
    <w:rsid w:val="00AA49FF"/>
    <w:pPr>
      <w:numPr>
        <w:numId w:val="2"/>
      </w:numPr>
      <w:spacing w:after="120"/>
    </w:pPr>
    <w:rPr>
      <w:rFonts w:ascii="Arial" w:eastAsia="MS Mincho" w:hAnsi="Arial" w:cs="Arial"/>
      <w:sz w:val="20"/>
      <w:szCs w:val="20"/>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3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E2DE0E1-0A3F-4F6E-994E-0D0336137534}">
    <t:Anchor>
      <t:Comment id="995424691"/>
    </t:Anchor>
    <t:History>
      <t:Event id="{3A3DEB83-E051-4B14-872B-EDE8EDFAB99C}" time="2024-11-14T11:11:30.785Z">
        <t:Attribution userId="S::head@botwellhouse.school::2fdd4f22-0ef8-4468-8200-49c0ed03cc83" userProvider="AD" userName="Kevin Oakley"/>
        <t:Anchor>
          <t:Comment id="598090452"/>
        </t:Anchor>
        <t:Create/>
      </t:Event>
      <t:Event id="{CE207616-7E2A-43C8-892A-DD6BF59A985B}" time="2024-11-14T11:11:30.785Z">
        <t:Attribution userId="S::head@botwellhouse.school::2fdd4f22-0ef8-4468-8200-49c0ed03cc83" userProvider="AD" userName="Kevin Oakley"/>
        <t:Anchor>
          <t:Comment id="598090452"/>
        </t:Anchor>
        <t:Assign userId="S::HSlater@botwellhouse.school::28e1cf3d-7121-4fc2-80f4-a6ecec758ee5" userProvider="AD" userName="Helen Slater"/>
      </t:Event>
      <t:Event id="{89BA6A6B-6439-4FD3-985A-A33F4A83D3D6}" time="2024-11-14T11:11:30.785Z">
        <t:Attribution userId="S::head@botwellhouse.school::2fdd4f22-0ef8-4468-8200-49c0ed03cc83" userProvider="AD" userName="Kevin Oakley"/>
        <t:Anchor>
          <t:Comment id="598090452"/>
        </t:Anchor>
        <t:SetTitle title="@Helen Slater not sure what you mean sorry?"/>
      </t:Event>
      <t:Event id="{7F944819-B8FD-4996-B078-849A032CAC7A}" time="2024-11-14T11:41:33.538Z">
        <t:Attribution userId="S::head@botwellhouse.school::2fdd4f22-0ef8-4468-8200-49c0ed03cc83" userProvider="AD" userName="Kevin Oakley"/>
        <t:Progress percentComplete="100"/>
      </t:Event>
    </t:History>
  </t:Task>
  <t:Task id="{6C4E0179-2F4E-4FE5-AB29-39707023BD2F}">
    <t:Anchor>
      <t:Comment id="339304627"/>
    </t:Anchor>
    <t:History>
      <t:Event id="{C912FA90-9F01-4696-8806-E2B19747A3B0}" time="2024-11-14T11:16:41.048Z">
        <t:Attribution userId="S::head@botwellhouse.school::2fdd4f22-0ef8-4468-8200-49c0ed03cc83" userProvider="AD" userName="Kevin Oakley"/>
        <t:Anchor>
          <t:Comment id="1719886383"/>
        </t:Anchor>
        <t:Create/>
      </t:Event>
      <t:Event id="{3CE41123-3AB1-4D67-B9EB-6087C3505C2E}" time="2024-11-14T11:16:41.048Z">
        <t:Attribution userId="S::head@botwellhouse.school::2fdd4f22-0ef8-4468-8200-49c0ed03cc83" userProvider="AD" userName="Kevin Oakley"/>
        <t:Anchor>
          <t:Comment id="1719886383"/>
        </t:Anchor>
        <t:Assign userId="S::Tellwood@botwellhouse.school::1bd636ac-3179-432d-bdec-44ec6168e178" userProvider="AD" userName="Tegan Ellwood"/>
      </t:Event>
      <t:Event id="{CBAC5989-0B2D-42F8-A987-6A825D6C1988}" time="2024-11-14T11:16:41.048Z">
        <t:Attribution userId="S::head@botwellhouse.school::2fdd4f22-0ef8-4468-8200-49c0ed03cc83" userProvider="AD" userName="Kevin Oakley"/>
        <t:Anchor>
          <t:Comment id="1719886383"/>
        </t:Anchor>
        <t:SetTitle title="@Tegan Ellwood this is correct isn't it? I've made the sentence more specific to the Office's DOJ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DLyQYc+8uryF1IbM+x+AUHhP0Ag==">AMUW2mVn7lP9CLsxFD3tLj8So3npYq0SNfhSX4aJ3sv0p+vPIDl6DzG9AmDcspI1xL9ygp1y9LkgULIoTfVU5hAqygZJlFtEjlXIGa01vLPPfKUQknR66pjde8W9PcDFQkswhntnSoaYu4nlwmAvDncxlTh4vU1T6A==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5698CEA196EE640933C815A891935D2" ma:contentTypeVersion="18" ma:contentTypeDescription="Create a new document." ma:contentTypeScope="" ma:versionID="60a2714b9f9767ac93b483b21b9bd1c4">
  <xsd:schema xmlns:xsd="http://www.w3.org/2001/XMLSchema" xmlns:xs="http://www.w3.org/2001/XMLSchema" xmlns:p="http://schemas.microsoft.com/office/2006/metadata/properties" xmlns:ns3="464fd49f-90fe-4a58-86c0-169c6e4abd96" xmlns:ns4="f1d00301-d43c-4e90-956a-c8116bff9097" targetNamespace="http://schemas.microsoft.com/office/2006/metadata/properties" ma:root="true" ma:fieldsID="4e24d82ea9c40f3fe0babd2e0b1a64b5" ns3:_="" ns4:_="">
    <xsd:import namespace="464fd49f-90fe-4a58-86c0-169c6e4abd96"/>
    <xsd:import namespace="f1d00301-d43c-4e90-956a-c8116bff90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fd49f-90fe-4a58-86c0-169c6e4ab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00301-d43c-4e90-956a-c8116bff909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64fd49f-90fe-4a58-86c0-169c6e4abd96" xsi:nil="true"/>
  </documentManagement>
</p:properties>
</file>

<file path=customXml/itemProps1.xml><?xml version="1.0" encoding="utf-8"?>
<ds:datastoreItem xmlns:ds="http://schemas.openxmlformats.org/officeDocument/2006/customXml" ds:itemID="{3C0086E6-7189-4855-9986-14B4FA348E0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169FA9D-E3E6-4286-BF7C-50C32656B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fd49f-90fe-4a58-86c0-169c6e4abd96"/>
    <ds:schemaRef ds:uri="f1d00301-d43c-4e90-956a-c8116bff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C0BE6-EBCA-4AFC-85E8-282EB56B224C}">
  <ds:schemaRefs>
    <ds:schemaRef ds:uri="http://schemas.microsoft.com/office/2006/metadata/properties"/>
    <ds:schemaRef ds:uri="http://schemas.microsoft.com/office/infopath/2007/PartnerControls"/>
    <ds:schemaRef ds:uri="464fd49f-90fe-4a58-86c0-169c6e4abd9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1550</Words>
  <Characters>8839</Characters>
  <Application>Microsoft Office Word</Application>
  <DocSecurity>0</DocSecurity>
  <Lines>73</Lines>
  <Paragraphs>20</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Oakley</dc:creator>
  <cp:keywords/>
  <dc:description/>
  <cp:lastModifiedBy>Kevin Oakley</cp:lastModifiedBy>
  <cp:revision>25</cp:revision>
  <cp:lastPrinted>2024-11-14T12:03:00Z</cp:lastPrinted>
  <dcterms:created xsi:type="dcterms:W3CDTF">2026-04-14T14:14:00Z</dcterms:created>
  <dcterms:modified xsi:type="dcterms:W3CDTF">2026-04-14T14:29:00Z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0x01010045698CEA196EE640933C815A891935D2</vt:lpwstr>
  </property>
  <property fmtid="{D5CDD505-2E9C-101B-9397-08002B2CF9AE}" pid="3" name="MediaServiceImageTags">
    <vt:lpwstr/>
  </property>
</Properties>
</file>