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DEF49" w14:textId="77777777" w:rsidR="007C5365" w:rsidRDefault="009747B9">
      <w:pPr>
        <w:spacing w:after="49"/>
      </w:pPr>
      <w:r>
        <w:rPr>
          <w:b/>
          <w:color w:val="5D2A5F"/>
          <w:sz w:val="36"/>
        </w:rPr>
        <w:t>British Values</w:t>
      </w:r>
    </w:p>
    <w:tbl>
      <w:tblPr>
        <w:tblStyle w:val="TableGrid"/>
        <w:tblpPr w:vertAnchor="page" w:horzAnchor="page" w:tblpX="37" w:tblpY="19"/>
        <w:tblOverlap w:val="never"/>
        <w:tblW w:w="11867" w:type="dxa"/>
        <w:tblInd w:w="0" w:type="dxa"/>
        <w:tblCellMar>
          <w:left w:w="683" w:type="dxa"/>
          <w:bottom w:w="430" w:type="dxa"/>
          <w:right w:w="661" w:type="dxa"/>
        </w:tblCellMar>
        <w:tblLook w:val="04A0" w:firstRow="1" w:lastRow="0" w:firstColumn="1" w:lastColumn="0" w:noHBand="0" w:noVBand="1"/>
      </w:tblPr>
      <w:tblGrid>
        <w:gridCol w:w="11867"/>
      </w:tblGrid>
      <w:tr w:rsidR="007C5365" w14:paraId="5ADBFE90" w14:textId="77777777">
        <w:trPr>
          <w:trHeight w:val="4700"/>
        </w:trPr>
        <w:tc>
          <w:tcPr>
            <w:tcW w:w="11867" w:type="dxa"/>
            <w:tcBorders>
              <w:top w:val="single" w:sz="8" w:space="0" w:color="162C51"/>
              <w:left w:val="single" w:sz="8" w:space="0" w:color="162C51"/>
              <w:bottom w:val="single" w:sz="8" w:space="0" w:color="162C51"/>
              <w:right w:val="nil"/>
            </w:tcBorders>
            <w:shd w:val="clear" w:color="auto" w:fill="5D2A5F"/>
            <w:vAlign w:val="bottom"/>
          </w:tcPr>
          <w:p w14:paraId="40F19198" w14:textId="77777777" w:rsidR="007C5365" w:rsidRDefault="009747B9">
            <w:pPr>
              <w:spacing w:after="424"/>
              <w:ind w:left="3381"/>
            </w:pPr>
            <w:r>
              <w:rPr>
                <w:noProof/>
              </w:rPr>
              <w:drawing>
                <wp:inline distT="0" distB="0" distL="0" distR="0" wp14:anchorId="58AED0E7" wp14:editId="45911C36">
                  <wp:extent cx="2336800" cy="1033780"/>
                  <wp:effectExtent l="0" t="0" r="0" b="0"/>
                  <wp:docPr id="133" name="Picture 133"/>
                  <wp:cNvGraphicFramePr/>
                  <a:graphic xmlns:a="http://schemas.openxmlformats.org/drawingml/2006/main">
                    <a:graphicData uri="http://schemas.openxmlformats.org/drawingml/2006/picture">
                      <pic:pic xmlns:pic="http://schemas.openxmlformats.org/drawingml/2006/picture">
                        <pic:nvPicPr>
                          <pic:cNvPr id="133" name="Picture 133"/>
                          <pic:cNvPicPr/>
                        </pic:nvPicPr>
                        <pic:blipFill>
                          <a:blip r:embed="rId7"/>
                          <a:stretch>
                            <a:fillRect/>
                          </a:stretch>
                        </pic:blipFill>
                        <pic:spPr>
                          <a:xfrm>
                            <a:off x="0" y="0"/>
                            <a:ext cx="2336800" cy="1033780"/>
                          </a:xfrm>
                          <a:prstGeom prst="rect">
                            <a:avLst/>
                          </a:prstGeom>
                        </pic:spPr>
                      </pic:pic>
                    </a:graphicData>
                  </a:graphic>
                </wp:inline>
              </w:drawing>
            </w:r>
          </w:p>
          <w:p w14:paraId="0E6B5867" w14:textId="77777777" w:rsidR="007C5365" w:rsidRDefault="009747B9">
            <w:pPr>
              <w:spacing w:after="20"/>
              <w:ind w:right="138"/>
              <w:jc w:val="center"/>
            </w:pPr>
            <w:r>
              <w:rPr>
                <w:b/>
                <w:color w:val="FFFFFF"/>
                <w:sz w:val="36"/>
              </w:rPr>
              <w:t xml:space="preserve">British Values </w:t>
            </w:r>
          </w:p>
          <w:p w14:paraId="472B1546" w14:textId="2F3DC7F2" w:rsidR="007C5365" w:rsidRDefault="009747B9">
            <w:pPr>
              <w:ind w:right="54"/>
              <w:jc w:val="both"/>
            </w:pPr>
            <w:r>
              <w:rPr>
                <w:color w:val="FFFFFF"/>
              </w:rPr>
              <w:t>Religious Educat</w:t>
            </w:r>
            <w:r w:rsidR="00F34B05">
              <w:rPr>
                <w:color w:val="FFFFFF"/>
              </w:rPr>
              <w:t>i</w:t>
            </w:r>
            <w:r>
              <w:rPr>
                <w:color w:val="FFFFFF"/>
              </w:rPr>
              <w:t>on is a key player in engendering knowledge and understanding which can lead to tolerance and respect for others and their beliefs. It does not teach children to passively accept, but rather encourages evalua</w:t>
            </w:r>
            <w:r w:rsidR="00F34B05">
              <w:rPr>
                <w:color w:val="FFFFFF"/>
              </w:rPr>
              <w:t>ti</w:t>
            </w:r>
            <w:r>
              <w:rPr>
                <w:color w:val="FFFFFF"/>
              </w:rPr>
              <w:t xml:space="preserve">on </w:t>
            </w:r>
            <w:bookmarkStart w:id="0" w:name="_GoBack"/>
            <w:bookmarkEnd w:id="0"/>
            <w:proofErr w:type="gramStart"/>
            <w:r>
              <w:rPr>
                <w:color w:val="FFFFFF"/>
              </w:rPr>
              <w:t xml:space="preserve">and </w:t>
            </w:r>
            <w:r>
              <w:rPr>
                <w:rFonts w:ascii="Times New Roman" w:eastAsia="Times New Roman" w:hAnsi="Times New Roman" w:cs="Times New Roman"/>
                <w:color w:val="FFFFFF"/>
              </w:rPr>
              <w:t xml:space="preserve"> </w:t>
            </w:r>
            <w:r>
              <w:rPr>
                <w:color w:val="FFFFFF"/>
              </w:rPr>
              <w:t>cri</w:t>
            </w:r>
            <w:r w:rsidR="00F34B05">
              <w:rPr>
                <w:color w:val="FFFFFF"/>
              </w:rPr>
              <w:t>ti</w:t>
            </w:r>
            <w:r>
              <w:rPr>
                <w:color w:val="FFFFFF"/>
              </w:rPr>
              <w:t>cal</w:t>
            </w:r>
            <w:proofErr w:type="gramEnd"/>
            <w:r>
              <w:rPr>
                <w:color w:val="FFFFFF"/>
              </w:rPr>
              <w:t xml:space="preserve"> </w:t>
            </w:r>
            <w:r>
              <w:rPr>
                <w:rFonts w:ascii="Times New Roman" w:eastAsia="Times New Roman" w:hAnsi="Times New Roman" w:cs="Times New Roman"/>
                <w:color w:val="FFFFFF"/>
              </w:rPr>
              <w:t xml:space="preserve"> </w:t>
            </w:r>
            <w:r>
              <w:rPr>
                <w:color w:val="FFFFFF"/>
              </w:rPr>
              <w:t xml:space="preserve">thinking </w:t>
            </w:r>
            <w:r>
              <w:rPr>
                <w:rFonts w:ascii="Times New Roman" w:eastAsia="Times New Roman" w:hAnsi="Times New Roman" w:cs="Times New Roman"/>
                <w:color w:val="FFFFFF"/>
              </w:rPr>
              <w:t xml:space="preserve"> </w:t>
            </w:r>
            <w:r>
              <w:rPr>
                <w:color w:val="FFFFFF"/>
              </w:rPr>
              <w:t xml:space="preserve">skills, </w:t>
            </w:r>
            <w:r>
              <w:rPr>
                <w:rFonts w:ascii="Times New Roman" w:eastAsia="Times New Roman" w:hAnsi="Times New Roman" w:cs="Times New Roman"/>
                <w:color w:val="FFFFFF"/>
              </w:rPr>
              <w:t xml:space="preserve"> </w:t>
            </w:r>
            <w:r>
              <w:rPr>
                <w:color w:val="FFFFFF"/>
              </w:rPr>
              <w:t xml:space="preserve">equipping </w:t>
            </w:r>
            <w:r>
              <w:rPr>
                <w:rFonts w:ascii="Times New Roman" w:eastAsia="Times New Roman" w:hAnsi="Times New Roman" w:cs="Times New Roman"/>
                <w:color w:val="FFFFFF"/>
              </w:rPr>
              <w:t xml:space="preserve"> </w:t>
            </w:r>
            <w:r>
              <w:rPr>
                <w:color w:val="FFFFFF"/>
              </w:rPr>
              <w:t xml:space="preserve">them </w:t>
            </w:r>
            <w:r>
              <w:rPr>
                <w:rFonts w:ascii="Times New Roman" w:eastAsia="Times New Roman" w:hAnsi="Times New Roman" w:cs="Times New Roman"/>
                <w:color w:val="FFFFFF"/>
              </w:rPr>
              <w:t xml:space="preserve"> </w:t>
            </w:r>
            <w:r>
              <w:rPr>
                <w:color w:val="FFFFFF"/>
              </w:rPr>
              <w:t xml:space="preserve">to </w:t>
            </w:r>
            <w:r>
              <w:rPr>
                <w:rFonts w:ascii="Times New Roman" w:eastAsia="Times New Roman" w:hAnsi="Times New Roman" w:cs="Times New Roman"/>
                <w:color w:val="FFFFFF"/>
              </w:rPr>
              <w:t xml:space="preserve"> </w:t>
            </w:r>
            <w:r>
              <w:rPr>
                <w:color w:val="FFFFFF"/>
              </w:rPr>
              <w:t xml:space="preserve">consider </w:t>
            </w:r>
            <w:r>
              <w:rPr>
                <w:rFonts w:ascii="Times New Roman" w:eastAsia="Times New Roman" w:hAnsi="Times New Roman" w:cs="Times New Roman"/>
                <w:color w:val="FFFFFF"/>
              </w:rPr>
              <w:t xml:space="preserve"> </w:t>
            </w:r>
            <w:r>
              <w:rPr>
                <w:color w:val="FFFFFF"/>
              </w:rPr>
              <w:t xml:space="preserve">belief </w:t>
            </w:r>
            <w:r>
              <w:rPr>
                <w:rFonts w:ascii="Times New Roman" w:eastAsia="Times New Roman" w:hAnsi="Times New Roman" w:cs="Times New Roman"/>
                <w:color w:val="FFFFFF"/>
              </w:rPr>
              <w:t xml:space="preserve"> </w:t>
            </w:r>
            <w:r>
              <w:rPr>
                <w:color w:val="FFFFFF"/>
              </w:rPr>
              <w:t>posi</w:t>
            </w:r>
            <w:r w:rsidR="00F34B05">
              <w:rPr>
                <w:color w:val="FFFFFF"/>
              </w:rPr>
              <w:t>ti</w:t>
            </w:r>
            <w:r>
              <w:rPr>
                <w:color w:val="FFFFFF"/>
              </w:rPr>
              <w:t xml:space="preserve">ons </w:t>
            </w:r>
            <w:r>
              <w:rPr>
                <w:rFonts w:ascii="Times New Roman" w:eastAsia="Times New Roman" w:hAnsi="Times New Roman" w:cs="Times New Roman"/>
                <w:color w:val="FFFFFF"/>
              </w:rPr>
              <w:t xml:space="preserve"> </w:t>
            </w:r>
            <w:r>
              <w:rPr>
                <w:color w:val="FFFFFF"/>
              </w:rPr>
              <w:t xml:space="preserve">they </w:t>
            </w:r>
            <w:r>
              <w:rPr>
                <w:rFonts w:ascii="Times New Roman" w:eastAsia="Times New Roman" w:hAnsi="Times New Roman" w:cs="Times New Roman"/>
                <w:color w:val="FFFFFF"/>
              </w:rPr>
              <w:t xml:space="preserve"> </w:t>
            </w:r>
            <w:r>
              <w:rPr>
                <w:color w:val="FFFFFF"/>
              </w:rPr>
              <w:t xml:space="preserve">encounter </w:t>
            </w:r>
            <w:r>
              <w:rPr>
                <w:rFonts w:ascii="Times New Roman" w:eastAsia="Times New Roman" w:hAnsi="Times New Roman" w:cs="Times New Roman"/>
                <w:color w:val="FFFFFF"/>
              </w:rPr>
              <w:t xml:space="preserve"> </w:t>
            </w:r>
            <w:r>
              <w:rPr>
                <w:color w:val="FFFFFF"/>
              </w:rPr>
              <w:t xml:space="preserve">with discernment. </w:t>
            </w:r>
          </w:p>
        </w:tc>
      </w:tr>
    </w:tbl>
    <w:p w14:paraId="44C1B5E0" w14:textId="0DD0CA4B" w:rsidR="007C5365" w:rsidRDefault="009747B9" w:rsidP="00F34B05">
      <w:pPr>
        <w:jc w:val="both"/>
      </w:pPr>
      <w:r>
        <w:t>Each enquiry contributes to Bri</w:t>
      </w:r>
      <w:r w:rsidR="00F34B05">
        <w:t>ti</w:t>
      </w:r>
      <w:r>
        <w:t>sh Values in a variety of ways and</w:t>
      </w:r>
      <w:r w:rsidR="00F34B05">
        <w:t>,</w:t>
      </w:r>
      <w:r>
        <w:t xml:space="preserve"> therefore mapping for a par</w:t>
      </w:r>
      <w:r w:rsidR="00F34B05">
        <w:t>ti</w:t>
      </w:r>
      <w:r>
        <w:t>cular school will very much depend on the choices they make. We offer the table below to support schools with this as a generic star</w:t>
      </w:r>
      <w:r w:rsidR="00F34B05">
        <w:t>ti</w:t>
      </w:r>
      <w:r>
        <w:t>ng point, as our themes are con</w:t>
      </w:r>
      <w:r w:rsidR="00F34B05">
        <w:t>ti</w:t>
      </w:r>
      <w:r>
        <w:t xml:space="preserve">nued across worldviews so some commonality can be established. </w:t>
      </w:r>
    </w:p>
    <w:tbl>
      <w:tblPr>
        <w:tblStyle w:val="TableGrid"/>
        <w:tblW w:w="10344" w:type="dxa"/>
        <w:tblInd w:w="5" w:type="dxa"/>
        <w:tblCellMar>
          <w:top w:w="7" w:type="dxa"/>
          <w:left w:w="106" w:type="dxa"/>
          <w:right w:w="60" w:type="dxa"/>
        </w:tblCellMar>
        <w:tblLook w:val="04A0" w:firstRow="1" w:lastRow="0" w:firstColumn="1" w:lastColumn="0" w:noHBand="0" w:noVBand="1"/>
      </w:tblPr>
      <w:tblGrid>
        <w:gridCol w:w="2549"/>
        <w:gridCol w:w="7795"/>
      </w:tblGrid>
      <w:tr w:rsidR="007C5365" w14:paraId="1EB46D07" w14:textId="77777777">
        <w:trPr>
          <w:trHeight w:val="494"/>
        </w:trPr>
        <w:tc>
          <w:tcPr>
            <w:tcW w:w="2549" w:type="dxa"/>
            <w:tcBorders>
              <w:top w:val="single" w:sz="4" w:space="0" w:color="5D2A5F"/>
              <w:left w:val="single" w:sz="4" w:space="0" w:color="5D2A5F"/>
              <w:bottom w:val="single" w:sz="4" w:space="0" w:color="5D2A5F"/>
              <w:right w:val="single" w:sz="4" w:space="0" w:color="5D2A5F"/>
            </w:tcBorders>
          </w:tcPr>
          <w:p w14:paraId="566B2ADD" w14:textId="6430FA5C" w:rsidR="007C5365" w:rsidRDefault="009747B9">
            <w:pPr>
              <w:ind w:left="5"/>
            </w:pPr>
            <w:r>
              <w:rPr>
                <w:b/>
                <w:color w:val="5D2A5F"/>
              </w:rPr>
              <w:t>Bri</w:t>
            </w:r>
            <w:r w:rsidR="00F34B05">
              <w:rPr>
                <w:b/>
                <w:color w:val="5D2A5F"/>
              </w:rPr>
              <w:t>ti</w:t>
            </w:r>
            <w:r>
              <w:rPr>
                <w:b/>
                <w:color w:val="5D2A5F"/>
              </w:rPr>
              <w:t xml:space="preserve">sh Value: </w:t>
            </w:r>
          </w:p>
        </w:tc>
        <w:tc>
          <w:tcPr>
            <w:tcW w:w="7795" w:type="dxa"/>
            <w:tcBorders>
              <w:top w:val="single" w:sz="4" w:space="0" w:color="5D2A5F"/>
              <w:left w:val="single" w:sz="4" w:space="0" w:color="5D2A5F"/>
              <w:bottom w:val="single" w:sz="4" w:space="0" w:color="5D2A5F"/>
              <w:right w:val="single" w:sz="4" w:space="0" w:color="5D2A5F"/>
            </w:tcBorders>
          </w:tcPr>
          <w:p w14:paraId="68584DFA" w14:textId="085B3A9F" w:rsidR="007C5365" w:rsidRDefault="009747B9">
            <w:r>
              <w:rPr>
                <w:b/>
                <w:color w:val="5D2A5F"/>
              </w:rPr>
              <w:t>Jigsaw RE opportuni</w:t>
            </w:r>
            <w:r w:rsidR="00F34B05">
              <w:rPr>
                <w:b/>
                <w:color w:val="5D2A5F"/>
              </w:rPr>
              <w:t>ti</w:t>
            </w:r>
            <w:r>
              <w:rPr>
                <w:b/>
                <w:color w:val="5D2A5F"/>
              </w:rPr>
              <w:t xml:space="preserve">es: </w:t>
            </w:r>
          </w:p>
        </w:tc>
      </w:tr>
      <w:tr w:rsidR="007C5365" w14:paraId="003D939C" w14:textId="77777777">
        <w:trPr>
          <w:trHeight w:val="1123"/>
        </w:trPr>
        <w:tc>
          <w:tcPr>
            <w:tcW w:w="2549" w:type="dxa"/>
            <w:tcBorders>
              <w:top w:val="single" w:sz="4" w:space="0" w:color="5D2A5F"/>
              <w:left w:val="single" w:sz="4" w:space="0" w:color="5D2A5F"/>
              <w:bottom w:val="single" w:sz="4" w:space="0" w:color="5D2A5F"/>
              <w:right w:val="single" w:sz="4" w:space="0" w:color="5D2A5F"/>
            </w:tcBorders>
          </w:tcPr>
          <w:p w14:paraId="0AC76D07" w14:textId="77777777" w:rsidR="007C5365" w:rsidRDefault="009747B9">
            <w:pPr>
              <w:ind w:left="5"/>
            </w:pPr>
            <w:r>
              <w:t xml:space="preserve">Democracy </w:t>
            </w:r>
          </w:p>
        </w:tc>
        <w:tc>
          <w:tcPr>
            <w:tcW w:w="7795" w:type="dxa"/>
            <w:tcBorders>
              <w:top w:val="single" w:sz="4" w:space="0" w:color="5D2A5F"/>
              <w:left w:val="single" w:sz="4" w:space="0" w:color="5D2A5F"/>
              <w:bottom w:val="single" w:sz="4" w:space="0" w:color="5D2A5F"/>
              <w:right w:val="single" w:sz="4" w:space="0" w:color="5D2A5F"/>
            </w:tcBorders>
          </w:tcPr>
          <w:p w14:paraId="1FAE63F6" w14:textId="5490D266" w:rsidR="007C5365" w:rsidRDefault="009747B9" w:rsidP="00F34B05">
            <w:pPr>
              <w:jc w:val="both"/>
            </w:pPr>
            <w:proofErr w:type="spellStart"/>
            <w:r>
              <w:t>Ac</w:t>
            </w:r>
            <w:r w:rsidR="00F34B05">
              <w:t>t</w:t>
            </w:r>
            <w:r>
              <w:t>vi</w:t>
            </w:r>
            <w:r w:rsidR="00F34B05">
              <w:t>ti</w:t>
            </w:r>
            <w:r>
              <w:t>es</w:t>
            </w:r>
            <w:proofErr w:type="spellEnd"/>
            <w:r>
              <w:t xml:space="preserve"> such as votes and quizzes within lesson plans as well as specific teaching on elements such as freedom of speech when campaigning and pe</w:t>
            </w:r>
            <w:r w:rsidR="00F34B05">
              <w:t>tition</w:t>
            </w:r>
            <w:r>
              <w:t>ing for ac</w:t>
            </w:r>
            <w:r w:rsidR="00F34B05">
              <w:t>ti</w:t>
            </w:r>
            <w:r>
              <w:t xml:space="preserve">on about the environment (e.g. Humanism 7-9 enquiry). </w:t>
            </w:r>
          </w:p>
        </w:tc>
      </w:tr>
      <w:tr w:rsidR="007C5365" w14:paraId="4E041A25" w14:textId="77777777">
        <w:trPr>
          <w:trHeight w:val="2261"/>
        </w:trPr>
        <w:tc>
          <w:tcPr>
            <w:tcW w:w="2549" w:type="dxa"/>
            <w:tcBorders>
              <w:top w:val="single" w:sz="4" w:space="0" w:color="5D2A5F"/>
              <w:left w:val="single" w:sz="4" w:space="0" w:color="5D2A5F"/>
              <w:bottom w:val="single" w:sz="4" w:space="0" w:color="5D2A5F"/>
              <w:right w:val="single" w:sz="4" w:space="0" w:color="5D2A5F"/>
            </w:tcBorders>
          </w:tcPr>
          <w:p w14:paraId="555486D6" w14:textId="77777777" w:rsidR="007C5365" w:rsidRDefault="009747B9">
            <w:pPr>
              <w:ind w:left="5"/>
            </w:pPr>
            <w:r>
              <w:t xml:space="preserve">Rule of Law </w:t>
            </w:r>
          </w:p>
        </w:tc>
        <w:tc>
          <w:tcPr>
            <w:tcW w:w="7795" w:type="dxa"/>
            <w:tcBorders>
              <w:top w:val="single" w:sz="4" w:space="0" w:color="5D2A5F"/>
              <w:left w:val="single" w:sz="4" w:space="0" w:color="5D2A5F"/>
              <w:bottom w:val="single" w:sz="4" w:space="0" w:color="5D2A5F"/>
              <w:right w:val="single" w:sz="4" w:space="0" w:color="5D2A5F"/>
            </w:tcBorders>
          </w:tcPr>
          <w:p w14:paraId="26C59E4E" w14:textId="2802C792" w:rsidR="007C5365" w:rsidRDefault="009747B9" w:rsidP="00F34B05">
            <w:pPr>
              <w:jc w:val="both"/>
            </w:pPr>
            <w:r>
              <w:t>Especially prevalent in enquiries where the expecta</w:t>
            </w:r>
            <w:r w:rsidR="00F34B05">
              <w:t>ti</w:t>
            </w:r>
            <w:r>
              <w:t xml:space="preserve">ons (‘rules’) of a worldview are discussed (e.g. following the 10 Commandments, the </w:t>
            </w:r>
          </w:p>
          <w:p w14:paraId="0656E10B" w14:textId="013C2695" w:rsidR="007C5365" w:rsidRDefault="009747B9" w:rsidP="00F34B05">
            <w:pPr>
              <w:jc w:val="both"/>
            </w:pPr>
            <w:r>
              <w:t xml:space="preserve">Humanist Golden Rule) or making promises in </w:t>
            </w:r>
            <w:proofErr w:type="spellStart"/>
            <w:r>
              <w:t>rights</w:t>
            </w:r>
            <w:proofErr w:type="spellEnd"/>
            <w:r>
              <w:t xml:space="preserve"> of passage (e.g. joining the Khalsa, Jewish wedding ceremony). A number of these are likely to be found in ‘How can a </w:t>
            </w:r>
            <w:proofErr w:type="gramStart"/>
            <w:r>
              <w:t>…..</w:t>
            </w:r>
            <w:proofErr w:type="gramEnd"/>
            <w:r>
              <w:t xml:space="preserve"> lead a good life?’ style enquiry ques</w:t>
            </w:r>
            <w:r w:rsidR="00F34B05">
              <w:t>ti</w:t>
            </w:r>
            <w:r>
              <w:t>ons. Obviously</w:t>
            </w:r>
            <w:r w:rsidR="00F34B05">
              <w:t>,</w:t>
            </w:r>
            <w:r>
              <w:t xml:space="preserve"> these are not law in Britain, but the teacher can </w:t>
            </w:r>
            <w:proofErr w:type="gramStart"/>
            <w:r>
              <w:t>make reference</w:t>
            </w:r>
            <w:proofErr w:type="gramEnd"/>
            <w:r>
              <w:t xml:space="preserve"> to how they are similar and are important rules to follow for that person.  </w:t>
            </w:r>
          </w:p>
        </w:tc>
      </w:tr>
      <w:tr w:rsidR="007C5365" w14:paraId="61268DE6" w14:textId="77777777">
        <w:trPr>
          <w:trHeight w:val="1699"/>
        </w:trPr>
        <w:tc>
          <w:tcPr>
            <w:tcW w:w="2549" w:type="dxa"/>
            <w:tcBorders>
              <w:top w:val="single" w:sz="4" w:space="0" w:color="5D2A5F"/>
              <w:left w:val="single" w:sz="4" w:space="0" w:color="5D2A5F"/>
              <w:bottom w:val="single" w:sz="4" w:space="0" w:color="5D2A5F"/>
              <w:right w:val="single" w:sz="4" w:space="0" w:color="5D2A5F"/>
            </w:tcBorders>
          </w:tcPr>
          <w:p w14:paraId="0E6BCB4C" w14:textId="77777777" w:rsidR="007C5365" w:rsidRDefault="009747B9">
            <w:pPr>
              <w:ind w:left="5"/>
            </w:pPr>
            <w:r>
              <w:t xml:space="preserve">Individual Liberty </w:t>
            </w:r>
          </w:p>
        </w:tc>
        <w:tc>
          <w:tcPr>
            <w:tcW w:w="7795" w:type="dxa"/>
            <w:tcBorders>
              <w:top w:val="single" w:sz="4" w:space="0" w:color="5D2A5F"/>
              <w:left w:val="single" w:sz="4" w:space="0" w:color="5D2A5F"/>
              <w:bottom w:val="single" w:sz="4" w:space="0" w:color="5D2A5F"/>
              <w:right w:val="single" w:sz="4" w:space="0" w:color="5D2A5F"/>
            </w:tcBorders>
          </w:tcPr>
          <w:p w14:paraId="5862CB85" w14:textId="22C0B825" w:rsidR="007C5365" w:rsidRDefault="009747B9" w:rsidP="001D5F29">
            <w:pPr>
              <w:jc w:val="both"/>
            </w:pPr>
            <w:r>
              <w:t xml:space="preserve">This is embedded throughout Jigsaw RE as we reiterate </w:t>
            </w:r>
            <w:r w:rsidR="001D5F29">
              <w:t>ti</w:t>
            </w:r>
            <w:r>
              <w:t>me a</w:t>
            </w:r>
            <w:r w:rsidR="001D5F29">
              <w:t>ft</w:t>
            </w:r>
            <w:r>
              <w:t xml:space="preserve">er </w:t>
            </w:r>
            <w:r w:rsidR="001D5F29">
              <w:t>ti</w:t>
            </w:r>
            <w:r>
              <w:t>me how there is no one worldview, even for people who may iden</w:t>
            </w:r>
            <w:r w:rsidR="001D5F29">
              <w:t>ti</w:t>
            </w:r>
            <w:r>
              <w:t>fy as belonging to the same faith or worldview as each other. Everybody will come to their own interpreta</w:t>
            </w:r>
            <w:r w:rsidR="001D5F29">
              <w:t>ti</w:t>
            </w:r>
            <w:r>
              <w:t xml:space="preserve">on of a text or idea or belief and apply it to their own life and are free to do so.  </w:t>
            </w:r>
          </w:p>
        </w:tc>
      </w:tr>
      <w:tr w:rsidR="007C5365" w14:paraId="445151A1" w14:textId="77777777">
        <w:trPr>
          <w:trHeight w:val="1142"/>
        </w:trPr>
        <w:tc>
          <w:tcPr>
            <w:tcW w:w="2549" w:type="dxa"/>
            <w:tcBorders>
              <w:top w:val="single" w:sz="4" w:space="0" w:color="5D2A5F"/>
              <w:left w:val="single" w:sz="4" w:space="0" w:color="5D2A5F"/>
              <w:bottom w:val="single" w:sz="4" w:space="0" w:color="5D2A5F"/>
              <w:right w:val="single" w:sz="4" w:space="0" w:color="5D2A5F"/>
            </w:tcBorders>
          </w:tcPr>
          <w:p w14:paraId="1F1E8F91" w14:textId="77777777" w:rsidR="007C5365" w:rsidRDefault="009747B9">
            <w:pPr>
              <w:ind w:left="5"/>
            </w:pPr>
            <w:r>
              <w:t xml:space="preserve">Mutual Respect </w:t>
            </w:r>
          </w:p>
        </w:tc>
        <w:tc>
          <w:tcPr>
            <w:tcW w:w="7795" w:type="dxa"/>
            <w:tcBorders>
              <w:top w:val="single" w:sz="4" w:space="0" w:color="5D2A5F"/>
              <w:left w:val="single" w:sz="4" w:space="0" w:color="5D2A5F"/>
              <w:bottom w:val="single" w:sz="4" w:space="0" w:color="5D2A5F"/>
              <w:right w:val="single" w:sz="4" w:space="0" w:color="5D2A5F"/>
            </w:tcBorders>
          </w:tcPr>
          <w:p w14:paraId="72766D70" w14:textId="514D47F3" w:rsidR="007C5365" w:rsidRDefault="009747B9" w:rsidP="001D5F29">
            <w:pPr>
              <w:jc w:val="both"/>
            </w:pPr>
            <w:r>
              <w:t>The revisi</w:t>
            </w:r>
            <w:r w:rsidR="001D5F29">
              <w:t>ti</w:t>
            </w:r>
            <w:r>
              <w:t xml:space="preserve">ng of the Jigsaw RE charter at the beginning of every lesson and prompts for the teacher to integrate it throughout the lesson, ensures that respect is shown and received by all members of the class. </w:t>
            </w:r>
          </w:p>
        </w:tc>
      </w:tr>
      <w:tr w:rsidR="007C5365" w14:paraId="30071CFC" w14:textId="77777777">
        <w:trPr>
          <w:trHeight w:val="1272"/>
        </w:trPr>
        <w:tc>
          <w:tcPr>
            <w:tcW w:w="2549" w:type="dxa"/>
            <w:tcBorders>
              <w:top w:val="single" w:sz="4" w:space="0" w:color="5D2A5F"/>
              <w:left w:val="single" w:sz="4" w:space="0" w:color="5D2A5F"/>
              <w:bottom w:val="single" w:sz="4" w:space="0" w:color="5D2A5F"/>
              <w:right w:val="single" w:sz="4" w:space="0" w:color="5D2A5F"/>
            </w:tcBorders>
          </w:tcPr>
          <w:p w14:paraId="7EB575B6" w14:textId="77777777" w:rsidR="007C5365" w:rsidRDefault="009747B9">
            <w:pPr>
              <w:ind w:left="5"/>
            </w:pPr>
            <w:r>
              <w:t xml:space="preserve">Tolerance of those with different faiths and beliefs. </w:t>
            </w:r>
          </w:p>
        </w:tc>
        <w:tc>
          <w:tcPr>
            <w:tcW w:w="7795" w:type="dxa"/>
            <w:tcBorders>
              <w:top w:val="single" w:sz="4" w:space="0" w:color="5D2A5F"/>
              <w:left w:val="single" w:sz="4" w:space="0" w:color="5D2A5F"/>
              <w:bottom w:val="single" w:sz="4" w:space="0" w:color="5D2A5F"/>
              <w:right w:val="single" w:sz="4" w:space="0" w:color="5D2A5F"/>
            </w:tcBorders>
          </w:tcPr>
          <w:p w14:paraId="1271BA5C" w14:textId="1D76881E" w:rsidR="007C5365" w:rsidRDefault="009747B9" w:rsidP="001D5F29">
            <w:pPr>
              <w:jc w:val="both"/>
            </w:pPr>
            <w:r>
              <w:t>This is the whole ethos of our programme and the emphasis on diversity within worldviews as well as between them, ensures children understand that there can be a mul</w:t>
            </w:r>
            <w:r w:rsidR="001D5F29">
              <w:t>ti</w:t>
            </w:r>
            <w:r>
              <w:t xml:space="preserve">tude of differences which are to be respected.  </w:t>
            </w:r>
          </w:p>
        </w:tc>
      </w:tr>
    </w:tbl>
    <w:p w14:paraId="1BEFC6EA" w14:textId="77777777" w:rsidR="007C5365" w:rsidRDefault="009747B9">
      <w:pPr>
        <w:ind w:left="8"/>
        <w:jc w:val="center"/>
      </w:pPr>
      <w:r>
        <w:rPr>
          <w:sz w:val="22"/>
        </w:rPr>
        <w:t xml:space="preserve">© 2023, Jigsaw Educa1on Group </w:t>
      </w:r>
    </w:p>
    <w:sectPr w:rsidR="007C5365">
      <w:pgSz w:w="11904" w:h="16838"/>
      <w:pgMar w:top="19" w:right="725"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365"/>
    <w:rsid w:val="001D5F29"/>
    <w:rsid w:val="00686FC9"/>
    <w:rsid w:val="007C5365"/>
    <w:rsid w:val="009747B9"/>
    <w:rsid w:val="00F34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979E6"/>
  <w15:docId w15:val="{437ECE6C-3C72-491A-9F26-1F48B100E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EA5F35DADE6C4093FE6265E22613BB" ma:contentTypeVersion="18" ma:contentTypeDescription="Create a new document." ma:contentTypeScope="" ma:versionID="94914bd5f6d9dc82a78599acaa23148e">
  <xsd:schema xmlns:xsd="http://www.w3.org/2001/XMLSchema" xmlns:xs="http://www.w3.org/2001/XMLSchema" xmlns:p="http://schemas.microsoft.com/office/2006/metadata/properties" xmlns:ns2="2308ebcb-fd6c-4748-977a-6982263cb383" xmlns:ns3="6f6116e6-7325-4b05-9fdc-6c13c799f3df" targetNamespace="http://schemas.microsoft.com/office/2006/metadata/properties" ma:root="true" ma:fieldsID="e2d270c82b8a4fdfc8589d1292f9136f" ns2:_="" ns3:_="">
    <xsd:import namespace="2308ebcb-fd6c-4748-977a-6982263cb383"/>
    <xsd:import namespace="6f6116e6-7325-4b05-9fdc-6c13c799f3d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8ebcb-fd6c-4748-977a-6982263cb3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697e0f-f111-42dd-b1b0-9a313f6e7a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6116e6-7325-4b05-9fdc-6c13c799f3d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b0c814d-3651-4d26-ac9b-344a44078130}" ma:internalName="TaxCatchAll" ma:showField="CatchAllData" ma:web="6f6116e6-7325-4b05-9fdc-6c13c799f3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f6116e6-7325-4b05-9fdc-6c13c799f3df" xsi:nil="true"/>
    <lcf76f155ced4ddcb4097134ff3c332f xmlns="2308ebcb-fd6c-4748-977a-6982263cb3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89D4F1-C425-4F13-B8AB-340B822D05C9}">
  <ds:schemaRefs>
    <ds:schemaRef ds:uri="http://schemas.microsoft.com/sharepoint/v3/contenttype/forms"/>
  </ds:schemaRefs>
</ds:datastoreItem>
</file>

<file path=customXml/itemProps2.xml><?xml version="1.0" encoding="utf-8"?>
<ds:datastoreItem xmlns:ds="http://schemas.openxmlformats.org/officeDocument/2006/customXml" ds:itemID="{F57BC15E-F5F1-44B4-B982-6C70EE789BD5}"/>
</file>

<file path=customXml/itemProps3.xml><?xml version="1.0" encoding="utf-8"?>
<ds:datastoreItem xmlns:ds="http://schemas.openxmlformats.org/officeDocument/2006/customXml" ds:itemID="{8C43D7FA-E80D-4E71-ACE8-6187100C9560}">
  <ds:schemaRefs>
    <ds:schemaRef ds:uri="http://purl.org/dc/elements/1.1/"/>
    <ds:schemaRef ds:uri="http://schemas.microsoft.com/office/2006/metadata/properties"/>
    <ds:schemaRef ds:uri="http://schemas.microsoft.com/office/infopath/2007/PartnerControls"/>
    <ds:schemaRef ds:uri="ec6a3f8f-a9b4-40a3-93ad-5ce2638cd264"/>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Coppice Primary School</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Billy Hutt</dc:creator>
  <cp:keywords/>
  <cp:lastModifiedBy>Billy Hutt</cp:lastModifiedBy>
  <cp:revision>5</cp:revision>
  <dcterms:created xsi:type="dcterms:W3CDTF">2026-01-15T16:32:00Z</dcterms:created>
  <dcterms:modified xsi:type="dcterms:W3CDTF">2026-01-16T12:07:00Z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0x010100FDEA5F35DADE6C4093FE6265E22613BB</vt:lpwstr>
  </property>
</Properties>
</file>