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0361362"/>
    <w:bookmarkStart w:id="1" w:name="_Toc443397153"/>
    <w:bookmarkStart w:id="2" w:name="_Toc357771638"/>
    <w:bookmarkStart w:id="3" w:name="_Toc346793416"/>
    <w:bookmarkStart w:id="4" w:name="_Toc328122777"/>
    <w:p w14:paraId="2A7D54B1" w14:textId="2233B62F"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50189A1B">
                <wp:simplePos x="0" y="0"/>
                <wp:positionH relativeFrom="margin">
                  <wp:posOffset>-1270</wp:posOffset>
                </wp:positionH>
                <wp:positionV relativeFrom="margin">
                  <wp:posOffset>722630</wp:posOffset>
                </wp:positionV>
                <wp:extent cx="6000115" cy="3300095"/>
                <wp:effectExtent l="0" t="0" r="19685" b="14605"/>
                <wp:wrapSquare wrapText="bothSides"/>
                <wp:docPr id="1" name="Text Box 2">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00115" cy="3300095"/>
                        </a:xfrm>
                        <a:prstGeom prst="rect">
                          <a:avLst/>
                        </a:prstGeom>
                        <a:solidFill>
                          <a:srgbClr val="F2F2F2"/>
                        </a:solidFill>
                        <a:ln w="9528">
                          <a:solidFill>
                            <a:srgbClr val="000000"/>
                          </a:solidFill>
                          <a:prstDash val="solid"/>
                        </a:ln>
                      </wps:spPr>
                      <wps:txbx>
                        <w:txbxContent>
                          <w:p w14:paraId="2EED2A16" w14:textId="4FFD1D2E" w:rsidR="00B572C4" w:rsidRPr="008F243B" w:rsidRDefault="00B572C4" w:rsidP="009539E3">
                            <w:pPr>
                              <w:rPr>
                                <w:bCs/>
                                <w:i/>
                                <w:iCs/>
                                <w:color w:val="auto"/>
                              </w:rPr>
                            </w:pPr>
                            <w:r w:rsidRPr="008F243B">
                              <w:rPr>
                                <w:bCs/>
                                <w:i/>
                                <w:iCs/>
                                <w:color w:val="auto"/>
                              </w:rPr>
                              <w:t xml:space="preserve">Before completing this template, </w:t>
                            </w:r>
                            <w:r w:rsidR="00F63E9E" w:rsidRPr="008F243B">
                              <w:rPr>
                                <w:bCs/>
                                <w:i/>
                                <w:iCs/>
                                <w:color w:val="auto"/>
                              </w:rPr>
                              <w:t xml:space="preserve">read </w:t>
                            </w:r>
                            <w:r w:rsidRPr="008F243B">
                              <w:rPr>
                                <w:bCs/>
                                <w:i/>
                                <w:iCs/>
                                <w:color w:val="auto"/>
                              </w:rPr>
                              <w:t>the E</w:t>
                            </w:r>
                            <w:r w:rsidR="00D3578A" w:rsidRPr="008F243B">
                              <w:rPr>
                                <w:bCs/>
                                <w:i/>
                                <w:iCs/>
                                <w:color w:val="auto"/>
                              </w:rPr>
                              <w:t xml:space="preserve">ducation </w:t>
                            </w:r>
                            <w:r w:rsidRPr="008F243B">
                              <w:rPr>
                                <w:bCs/>
                                <w:i/>
                                <w:iCs/>
                                <w:color w:val="auto"/>
                              </w:rPr>
                              <w:t>E</w:t>
                            </w:r>
                            <w:r w:rsidR="00D3578A" w:rsidRPr="008F243B">
                              <w:rPr>
                                <w:bCs/>
                                <w:i/>
                                <w:iCs/>
                                <w:color w:val="auto"/>
                              </w:rPr>
                              <w:t xml:space="preserve">ndowment </w:t>
                            </w:r>
                            <w:r w:rsidRPr="008F243B">
                              <w:rPr>
                                <w:bCs/>
                                <w:i/>
                                <w:iCs/>
                                <w:color w:val="auto"/>
                              </w:rPr>
                              <w:t>F</w:t>
                            </w:r>
                            <w:r w:rsidR="00D3578A" w:rsidRPr="008F243B">
                              <w:rPr>
                                <w:bCs/>
                                <w:i/>
                                <w:iCs/>
                                <w:color w:val="auto"/>
                              </w:rPr>
                              <w:t>oundation’s</w:t>
                            </w:r>
                            <w:r w:rsidRPr="008F243B">
                              <w:rPr>
                                <w:bCs/>
                                <w:i/>
                                <w:iCs/>
                                <w:color w:val="auto"/>
                              </w:rPr>
                              <w:t xml:space="preserve"> guid</w:t>
                            </w:r>
                            <w:r w:rsidR="00BC67F6" w:rsidRPr="008F243B">
                              <w:rPr>
                                <w:bCs/>
                                <w:i/>
                                <w:iCs/>
                                <w:color w:val="auto"/>
                              </w:rPr>
                              <w:t>ance</w:t>
                            </w:r>
                            <w:r w:rsidRPr="008F243B">
                              <w:rPr>
                                <w:bCs/>
                                <w:i/>
                                <w:iCs/>
                                <w:color w:val="auto"/>
                              </w:rPr>
                              <w:t xml:space="preserve"> </w:t>
                            </w:r>
                            <w:r w:rsidR="00731581" w:rsidRPr="008F243B">
                              <w:rPr>
                                <w:bCs/>
                                <w:i/>
                                <w:iCs/>
                                <w:color w:val="auto"/>
                              </w:rPr>
                              <w:t>on</w:t>
                            </w:r>
                            <w:r w:rsidRPr="008F243B">
                              <w:rPr>
                                <w:bCs/>
                                <w:i/>
                                <w:iCs/>
                                <w:color w:val="auto"/>
                              </w:rPr>
                              <w:t xml:space="preserve"> </w:t>
                            </w:r>
                            <w:hyperlink r:id="rId10" w:history="1">
                              <w:r w:rsidRPr="008F243B">
                                <w:rPr>
                                  <w:rStyle w:val="Hyperlink"/>
                                  <w:i/>
                                  <w:iCs/>
                                </w:rPr>
                                <w:t>using your pupil premium funding effectively</w:t>
                              </w:r>
                            </w:hyperlink>
                            <w:r w:rsidRPr="00BD4B12">
                              <w:rPr>
                                <w:bCs/>
                                <w:i/>
                                <w:iCs/>
                                <w:color w:val="auto"/>
                              </w:rPr>
                              <w:t xml:space="preserve"> and DfE’s</w:t>
                            </w:r>
                            <w:r w:rsidRPr="008F243B">
                              <w:rPr>
                                <w:bCs/>
                                <w:color w:val="auto"/>
                              </w:rPr>
                              <w:t xml:space="preserve"> </w:t>
                            </w:r>
                            <w:hyperlink r:id="rId11" w:history="1">
                              <w:r w:rsidR="00D3578A" w:rsidRPr="008F243B">
                                <w:rPr>
                                  <w:rStyle w:val="Hyperlink"/>
                                  <w:i/>
                                  <w:iCs/>
                                </w:rPr>
                                <w:t>using pupil premium guidance</w:t>
                              </w:r>
                            </w:hyperlink>
                            <w:r w:rsidRPr="00BD4B12">
                              <w:rPr>
                                <w:bCs/>
                                <w:i/>
                                <w:iCs/>
                                <w:color w:val="auto"/>
                              </w:rPr>
                              <w:t>, which includes the ‘menu of approaches’</w:t>
                            </w:r>
                            <w:r w:rsidRPr="008F243B">
                              <w:rPr>
                                <w:bCs/>
                                <w:i/>
                                <w:iCs/>
                                <w:color w:val="auto"/>
                              </w:rPr>
                              <w:t>. It is for school leaders to decide what activity to spend their pupil premium (and recovery premium) on, within the framework set out by the menu.</w:t>
                            </w:r>
                          </w:p>
                          <w:p w14:paraId="67CAB2FC" w14:textId="36B4196C" w:rsidR="00993CFC" w:rsidRDefault="00993CFC" w:rsidP="00F33DC0">
                            <w:pPr>
                              <w:rPr>
                                <w:i/>
                                <w:iCs/>
                              </w:rPr>
                            </w:pPr>
                            <w:bookmarkStart w:id="5" w:name="_Hlk117600237"/>
                            <w:r w:rsidRPr="00993CFC">
                              <w:rPr>
                                <w:i/>
                                <w:iCs/>
                              </w:rPr>
                              <w:t xml:space="preserve">All schools that receive pupil premium (and recovery premium) are required to use </w:t>
                            </w:r>
                            <w:r>
                              <w:rPr>
                                <w:i/>
                                <w:iCs/>
                              </w:rPr>
                              <w:t>this</w:t>
                            </w:r>
                            <w:r w:rsidRPr="00993CFC">
                              <w:rPr>
                                <w:i/>
                                <w:iCs/>
                              </w:rPr>
                              <w:t xml:space="preserve"> template to complete and publish </w:t>
                            </w:r>
                            <w:r w:rsidR="00306CB7">
                              <w:rPr>
                                <w:i/>
                                <w:iCs/>
                              </w:rPr>
                              <w:t>a</w:t>
                            </w:r>
                            <w:r w:rsidRPr="00993CFC">
                              <w:rPr>
                                <w:i/>
                                <w:iCs/>
                              </w:rPr>
                              <w:t xml:space="preserve"> pupil premium statement on their school website by 31 December</w:t>
                            </w:r>
                            <w:r w:rsidR="00060A62">
                              <w:rPr>
                                <w:i/>
                                <w:iCs/>
                              </w:rPr>
                              <w:t xml:space="preserve"> every academic year</w:t>
                            </w:r>
                            <w:r w:rsidRPr="00993CFC">
                              <w:rPr>
                                <w:i/>
                                <w:iCs/>
                              </w:rPr>
                              <w:t>.</w:t>
                            </w:r>
                          </w:p>
                          <w:p w14:paraId="5C77A3F6" w14:textId="7E0B45A8" w:rsidR="00D877D0" w:rsidRDefault="005750E2" w:rsidP="00D877D0">
                            <w:pPr>
                              <w:rPr>
                                <w:i/>
                                <w:iCs/>
                              </w:rPr>
                            </w:pPr>
                            <w:r w:rsidRPr="005750E2">
                              <w:rPr>
                                <w:i/>
                                <w:iCs/>
                              </w:rPr>
                              <w:t>If you are starting a new pupil premium strategy plan, use this</w:t>
                            </w:r>
                            <w:r w:rsidR="004A4C45">
                              <w:rPr>
                                <w:i/>
                                <w:iCs/>
                              </w:rPr>
                              <w:t xml:space="preserve"> </w:t>
                            </w:r>
                            <w:r w:rsidR="003C4C27">
                              <w:rPr>
                                <w:i/>
                                <w:iCs/>
                              </w:rPr>
                              <w:t>blank template</w:t>
                            </w:r>
                            <w:r w:rsidRPr="005750E2">
                              <w:rPr>
                                <w:i/>
                                <w:iCs/>
                              </w:rPr>
                              <w:t xml:space="preserve">. If you are continuing a strategy </w:t>
                            </w:r>
                            <w:r w:rsidR="004E1D73">
                              <w:rPr>
                                <w:i/>
                                <w:iCs/>
                              </w:rPr>
                              <w:t>plan from</w:t>
                            </w:r>
                            <w:r w:rsidR="00D877D0">
                              <w:rPr>
                                <w:i/>
                                <w:iCs/>
                              </w:rPr>
                              <w:t xml:space="preserve"> </w:t>
                            </w:r>
                            <w:r w:rsidR="00904A66">
                              <w:rPr>
                                <w:i/>
                                <w:iCs/>
                              </w:rPr>
                              <w:t>last</w:t>
                            </w:r>
                            <w:r w:rsidRPr="005750E2">
                              <w:rPr>
                                <w:i/>
                                <w:iCs/>
                              </w:rPr>
                              <w:t xml:space="preserve"> academic year, you may </w:t>
                            </w:r>
                            <w:r w:rsidR="00A50104">
                              <w:rPr>
                                <w:i/>
                                <w:iCs/>
                              </w:rPr>
                              <w:t>prefer</w:t>
                            </w:r>
                            <w:r w:rsidRPr="005750E2">
                              <w:rPr>
                                <w:i/>
                                <w:iCs/>
                              </w:rPr>
                              <w:t xml:space="preserve"> to edit your </w:t>
                            </w:r>
                            <w:bookmarkEnd w:id="5"/>
                            <w:r w:rsidR="00D877D0">
                              <w:rPr>
                                <w:i/>
                                <w:iCs/>
                              </w:rPr>
                              <w:t>existing statement.</w:t>
                            </w:r>
                          </w:p>
                          <w:p w14:paraId="2A7D54B6" w14:textId="4FEC4271" w:rsidR="00E66558" w:rsidRPr="00075FAE" w:rsidRDefault="009D71E8">
                            <w:pPr>
                              <w:keepNext/>
                              <w:spacing w:before="120" w:after="120"/>
                              <w:outlineLvl w:val="1"/>
                              <w:rPr>
                                <w:bCs/>
                                <w:i/>
                                <w:iCs/>
                                <w:sz w:val="28"/>
                                <w:szCs w:val="28"/>
                              </w:rPr>
                            </w:pPr>
                            <w:r w:rsidRPr="00075FAE">
                              <w:rPr>
                                <w:bCs/>
                                <w:i/>
                                <w:iCs/>
                                <w:color w:val="auto"/>
                              </w:rPr>
                              <w:t>Before publishing your completed statement, delete the instructions (text in italics) in this template, including this text box.</w:t>
                            </w:r>
                          </w:p>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1pt;margin-top:56.9pt;width:472.45pt;height:259.8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" fillcolor="#f2f2f2" strokeweight=".26467mm">
                <v:textbox>
                  <w:txbxContent>
                    <w:p w14:paraId="2EED2A16" w14:textId="4FFD1D2E" w:rsidR="00B572C4" w:rsidRPr="008F243B" w:rsidRDefault="00B572C4" w:rsidP="009539E3">
                      <w:pPr>
                        <w:rPr>
                          <w:bCs/>
                          <w:i/>
                          <w:iCs/>
                          <w:color w:val="auto"/>
                        </w:rPr>
                      </w:pPr>
                      <w:r w:rsidRPr="008F243B">
                        <w:rPr>
                          <w:bCs/>
                          <w:i/>
                          <w:iCs/>
                          <w:color w:val="auto"/>
                        </w:rPr>
                        <w:t xml:space="preserve">Before completing this template, </w:t>
                      </w:r>
                      <w:r w:rsidR="00F63E9E" w:rsidRPr="008F243B">
                        <w:rPr>
                          <w:bCs/>
                          <w:i/>
                          <w:iCs/>
                          <w:color w:val="auto"/>
                        </w:rPr>
                        <w:t xml:space="preserve">read </w:t>
                      </w:r>
                      <w:r w:rsidRPr="008F243B">
                        <w:rPr>
                          <w:bCs/>
                          <w:i/>
                          <w:iCs/>
                          <w:color w:val="auto"/>
                        </w:rPr>
                        <w:t>the E</w:t>
                      </w:r>
                      <w:r w:rsidR="00D3578A" w:rsidRPr="008F243B">
                        <w:rPr>
                          <w:bCs/>
                          <w:i/>
                          <w:iCs/>
                          <w:color w:val="auto"/>
                        </w:rPr>
                        <w:t xml:space="preserve">ducation </w:t>
                      </w:r>
                      <w:r w:rsidRPr="008F243B">
                        <w:rPr>
                          <w:bCs/>
                          <w:i/>
                          <w:iCs/>
                          <w:color w:val="auto"/>
                        </w:rPr>
                        <w:t>E</w:t>
                      </w:r>
                      <w:r w:rsidR="00D3578A" w:rsidRPr="008F243B">
                        <w:rPr>
                          <w:bCs/>
                          <w:i/>
                          <w:iCs/>
                          <w:color w:val="auto"/>
                        </w:rPr>
                        <w:t xml:space="preserve">ndowment </w:t>
                      </w:r>
                      <w:r w:rsidRPr="008F243B">
                        <w:rPr>
                          <w:bCs/>
                          <w:i/>
                          <w:iCs/>
                          <w:color w:val="auto"/>
                        </w:rPr>
                        <w:t>F</w:t>
                      </w:r>
                      <w:r w:rsidR="00D3578A" w:rsidRPr="008F243B">
                        <w:rPr>
                          <w:bCs/>
                          <w:i/>
                          <w:iCs/>
                          <w:color w:val="auto"/>
                        </w:rPr>
                        <w:t>oundation’s</w:t>
                      </w:r>
                      <w:r w:rsidRPr="008F243B">
                        <w:rPr>
                          <w:bCs/>
                          <w:i/>
                          <w:iCs/>
                          <w:color w:val="auto"/>
                        </w:rPr>
                        <w:t xml:space="preserve"> guid</w:t>
                      </w:r>
                      <w:r w:rsidR="00BC67F6" w:rsidRPr="008F243B">
                        <w:rPr>
                          <w:bCs/>
                          <w:i/>
                          <w:iCs/>
                          <w:color w:val="auto"/>
                        </w:rPr>
                        <w:t>ance</w:t>
                      </w:r>
                      <w:r w:rsidRPr="008F243B">
                        <w:rPr>
                          <w:bCs/>
                          <w:i/>
                          <w:iCs/>
                          <w:color w:val="auto"/>
                        </w:rPr>
                        <w:t xml:space="preserve"> </w:t>
                      </w:r>
                      <w:r w:rsidR="00731581" w:rsidRPr="008F243B">
                        <w:rPr>
                          <w:bCs/>
                          <w:i/>
                          <w:iCs/>
                          <w:color w:val="auto"/>
                        </w:rPr>
                        <w:t>on</w:t>
                      </w:r>
                      <w:r w:rsidRPr="008F243B">
                        <w:rPr>
                          <w:bCs/>
                          <w:i/>
                          <w:iCs/>
                          <w:color w:val="auto"/>
                        </w:rPr>
                        <w:t xml:space="preserve"> </w:t>
                      </w:r>
                      <w:hyperlink r:id="rId12" w:history="1">
                        <w:r w:rsidRPr="008F243B">
                          <w:rPr>
                            <w:rStyle w:val="Hyperlink"/>
                            <w:i/>
                            <w:iCs/>
                          </w:rPr>
                          <w:t>using your pupil premium funding effectively</w:t>
                        </w:r>
                      </w:hyperlink>
                      <w:r w:rsidRPr="00BD4B12">
                        <w:rPr>
                          <w:bCs/>
                          <w:i/>
                          <w:iCs/>
                          <w:color w:val="auto"/>
                        </w:rPr>
                        <w:t xml:space="preserve"> and DfE’s</w:t>
                      </w:r>
                      <w:r w:rsidRPr="008F243B">
                        <w:rPr>
                          <w:bCs/>
                          <w:color w:val="auto"/>
                        </w:rPr>
                        <w:t xml:space="preserve"> </w:t>
                      </w:r>
                      <w:hyperlink r:id="rId13" w:history="1">
                        <w:r w:rsidR="00D3578A" w:rsidRPr="008F243B">
                          <w:rPr>
                            <w:rStyle w:val="Hyperlink"/>
                            <w:i/>
                            <w:iCs/>
                          </w:rPr>
                          <w:t>using pupil premium guidance</w:t>
                        </w:r>
                      </w:hyperlink>
                      <w:r w:rsidRPr="00BD4B12">
                        <w:rPr>
                          <w:bCs/>
                          <w:i/>
                          <w:iCs/>
                          <w:color w:val="auto"/>
                        </w:rPr>
                        <w:t>, which includes the ‘menu of approaches’</w:t>
                      </w:r>
                      <w:r w:rsidRPr="008F243B">
                        <w:rPr>
                          <w:bCs/>
                          <w:i/>
                          <w:iCs/>
                          <w:color w:val="auto"/>
                        </w:rPr>
                        <w:t>. It is for school leaders to decide what activity to spend their pupil premium (and recovery premium) on, within the framework set out by the menu.</w:t>
                      </w:r>
                    </w:p>
                    <w:p w14:paraId="67CAB2FC" w14:textId="36B4196C" w:rsidR="00993CFC" w:rsidRDefault="00993CFC" w:rsidP="00F33DC0">
                      <w:pPr>
                        <w:rPr>
                          <w:i/>
                          <w:iCs/>
                        </w:rPr>
                      </w:pPr>
                      <w:bookmarkStart w:id="6" w:name="_Hlk117600237"/>
                      <w:r w:rsidRPr="00993CFC">
                        <w:rPr>
                          <w:i/>
                          <w:iCs/>
                        </w:rPr>
                        <w:t xml:space="preserve">All schools that receive pupil premium (and recovery premium) are required to use </w:t>
                      </w:r>
                      <w:r>
                        <w:rPr>
                          <w:i/>
                          <w:iCs/>
                        </w:rPr>
                        <w:t>this</w:t>
                      </w:r>
                      <w:r w:rsidRPr="00993CFC">
                        <w:rPr>
                          <w:i/>
                          <w:iCs/>
                        </w:rPr>
                        <w:t xml:space="preserve"> template to complete and publish </w:t>
                      </w:r>
                      <w:r w:rsidR="00306CB7">
                        <w:rPr>
                          <w:i/>
                          <w:iCs/>
                        </w:rPr>
                        <w:t>a</w:t>
                      </w:r>
                      <w:r w:rsidRPr="00993CFC">
                        <w:rPr>
                          <w:i/>
                          <w:iCs/>
                        </w:rPr>
                        <w:t xml:space="preserve"> pupil premium statement on their school website by 31 December</w:t>
                      </w:r>
                      <w:r w:rsidR="00060A62">
                        <w:rPr>
                          <w:i/>
                          <w:iCs/>
                        </w:rPr>
                        <w:t xml:space="preserve"> every academic year</w:t>
                      </w:r>
                      <w:r w:rsidRPr="00993CFC">
                        <w:rPr>
                          <w:i/>
                          <w:iCs/>
                        </w:rPr>
                        <w:t>.</w:t>
                      </w:r>
                    </w:p>
                    <w:p w14:paraId="5C77A3F6" w14:textId="7E0B45A8" w:rsidR="00D877D0" w:rsidRDefault="005750E2" w:rsidP="00D877D0">
                      <w:pPr>
                        <w:rPr>
                          <w:i/>
                          <w:iCs/>
                        </w:rPr>
                      </w:pPr>
                      <w:r w:rsidRPr="005750E2">
                        <w:rPr>
                          <w:i/>
                          <w:iCs/>
                        </w:rPr>
                        <w:t>If you are starting a new pupil premium strategy plan, use this</w:t>
                      </w:r>
                      <w:r w:rsidR="004A4C45">
                        <w:rPr>
                          <w:i/>
                          <w:iCs/>
                        </w:rPr>
                        <w:t xml:space="preserve"> </w:t>
                      </w:r>
                      <w:r w:rsidR="003C4C27">
                        <w:rPr>
                          <w:i/>
                          <w:iCs/>
                        </w:rPr>
                        <w:t>blank template</w:t>
                      </w:r>
                      <w:r w:rsidRPr="005750E2">
                        <w:rPr>
                          <w:i/>
                          <w:iCs/>
                        </w:rPr>
                        <w:t xml:space="preserve">. If you are continuing a strategy </w:t>
                      </w:r>
                      <w:r w:rsidR="004E1D73">
                        <w:rPr>
                          <w:i/>
                          <w:iCs/>
                        </w:rPr>
                        <w:t>plan from</w:t>
                      </w:r>
                      <w:r w:rsidR="00D877D0">
                        <w:rPr>
                          <w:i/>
                          <w:iCs/>
                        </w:rPr>
                        <w:t xml:space="preserve"> </w:t>
                      </w:r>
                      <w:r w:rsidR="00904A66">
                        <w:rPr>
                          <w:i/>
                          <w:iCs/>
                        </w:rPr>
                        <w:t>last</w:t>
                      </w:r>
                      <w:r w:rsidRPr="005750E2">
                        <w:rPr>
                          <w:i/>
                          <w:iCs/>
                        </w:rPr>
                        <w:t xml:space="preserve"> academic year, you may </w:t>
                      </w:r>
                      <w:r w:rsidR="00A50104">
                        <w:rPr>
                          <w:i/>
                          <w:iCs/>
                        </w:rPr>
                        <w:t>prefer</w:t>
                      </w:r>
                      <w:r w:rsidRPr="005750E2">
                        <w:rPr>
                          <w:i/>
                          <w:iCs/>
                        </w:rPr>
                        <w:t xml:space="preserve"> to edit your </w:t>
                      </w:r>
                      <w:bookmarkEnd w:id="6"/>
                      <w:r w:rsidR="00D877D0">
                        <w:rPr>
                          <w:i/>
                          <w:iCs/>
                        </w:rPr>
                        <w:t>existing statement.</w:t>
                      </w:r>
                    </w:p>
                    <w:p w14:paraId="2A7D54B6" w14:textId="4FEC4271" w:rsidR="00E66558" w:rsidRPr="00075FAE" w:rsidRDefault="009D71E8">
                      <w:pPr>
                        <w:keepNext/>
                        <w:spacing w:before="120" w:after="120"/>
                        <w:outlineLvl w:val="1"/>
                        <w:rPr>
                          <w:bCs/>
                          <w:i/>
                          <w:iCs/>
                          <w:sz w:val="28"/>
                          <w:szCs w:val="28"/>
                        </w:rPr>
                      </w:pPr>
                      <w:r w:rsidRPr="00075FAE">
                        <w:rPr>
                          <w:bCs/>
                          <w:i/>
                          <w:iCs/>
                          <w:color w:val="auto"/>
                        </w:rPr>
                        <w:t>Before publishing your completed statement, delete the instructions (text in italics) in this template, including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proofErr w:type="spellStart"/>
      <w:r w:rsidR="005275FF">
        <w:t>Botwell</w:t>
      </w:r>
      <w:proofErr w:type="spellEnd"/>
      <w:r w:rsidR="005275FF">
        <w:t xml:space="preserve"> House Catholic Primary School</w:t>
      </w:r>
    </w:p>
    <w:p w14:paraId="4EE876CB" w14:textId="77777777" w:rsidR="008E000B" w:rsidRDefault="008E000B" w:rsidP="00C62989"/>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4964709" w:rsidR="002940F3" w:rsidRDefault="005275FF">
            <w:pPr>
              <w:pStyle w:val="TableRow"/>
            </w:pPr>
            <w:r>
              <w:t>701</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53DB7C95" w:rsidR="002940F3" w:rsidRDefault="007D6195">
            <w:pPr>
              <w:pStyle w:val="TableRow"/>
            </w:pPr>
            <w:r>
              <w:t>21%</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CD3C187" w:rsidR="002940F3" w:rsidRDefault="00333056">
            <w:pPr>
              <w:pStyle w:val="TableRow"/>
            </w:pPr>
            <w:r>
              <w:t>2021/2022 to 2024/2025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69B9A1A" w:rsidR="002940F3" w:rsidRDefault="00F07B71">
            <w:pPr>
              <w:pStyle w:val="TableRow"/>
            </w:pPr>
            <w:r>
              <w:t>November 2022</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3E212F45" w:rsidR="002940F3" w:rsidRDefault="00F07B71">
            <w:pPr>
              <w:pStyle w:val="TableRow"/>
            </w:pPr>
            <w:r>
              <w:t>November 2023</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4FEABD2" w:rsidR="002940F3" w:rsidRDefault="00333056">
            <w:pPr>
              <w:pStyle w:val="TableRow"/>
            </w:pPr>
            <w:r>
              <w:t xml:space="preserve">Kevin Oakley </w:t>
            </w:r>
            <w:proofErr w:type="spellStart"/>
            <w:r>
              <w:t>Headteacher</w:t>
            </w:r>
            <w:proofErr w:type="spellEnd"/>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BD776B5" w:rsidR="002940F3" w:rsidRDefault="00F07B71">
            <w:pPr>
              <w:pStyle w:val="TableRow"/>
            </w:pPr>
            <w:r>
              <w:t>Helen Slater</w:t>
            </w:r>
            <w:r w:rsidR="006E2504">
              <w:t xml:space="preserve"> Assistant </w:t>
            </w:r>
            <w:proofErr w:type="spellStart"/>
            <w:r w:rsidR="006E2504">
              <w:t>Headteacher</w:t>
            </w:r>
            <w:proofErr w:type="spellEnd"/>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46527AF" w:rsidR="002940F3" w:rsidRDefault="0040111E">
            <w:pPr>
              <w:pStyle w:val="TableRow"/>
            </w:pPr>
            <w:r>
              <w:t xml:space="preserve">Jo Marsh </w:t>
            </w:r>
            <w:r w:rsidR="00333056">
              <w:t>Lead for disadvantaged pupils</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6EF2133" w:rsidR="00E66558" w:rsidRDefault="009D71E8">
            <w:pPr>
              <w:pStyle w:val="TableRow"/>
            </w:pPr>
            <w:r>
              <w:t>£</w:t>
            </w:r>
            <w:r w:rsidR="003B674E">
              <w:t>170,335.00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0008489E" w:rsidR="00E66558" w:rsidRDefault="009D71E8">
            <w:pPr>
              <w:pStyle w:val="TableRow"/>
            </w:pPr>
            <w:r>
              <w:t>£</w:t>
            </w:r>
            <w:r w:rsidR="003B674E">
              <w:t>16,821.00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585CCBA" w:rsidR="00E66558" w:rsidRDefault="009D71E8">
            <w:pPr>
              <w:pStyle w:val="TableRow"/>
            </w:pPr>
            <w:r>
              <w:t>£</w:t>
            </w:r>
            <w:r w:rsidR="003B674E">
              <w:t>6,888.00 (recovery premium)</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03E27CA" w:rsidR="00E66558" w:rsidRDefault="009D71E8">
            <w:pPr>
              <w:pStyle w:val="TableRow"/>
            </w:pPr>
            <w:r>
              <w:t>£</w:t>
            </w:r>
            <w:r w:rsidR="003B674E">
              <w:t>3,667,304.00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CC73" w14:textId="598EA4C5" w:rsidR="006E2504" w:rsidRDefault="006E2504">
            <w:pPr>
              <w:spacing w:before="120"/>
              <w:rPr>
                <w:iCs/>
              </w:rPr>
            </w:pPr>
            <w:r>
              <w:rPr>
                <w:iCs/>
              </w:rPr>
              <w:t xml:space="preserve">Our intention at </w:t>
            </w:r>
            <w:proofErr w:type="spellStart"/>
            <w:r>
              <w:rPr>
                <w:iCs/>
              </w:rPr>
              <w:t>Botwell</w:t>
            </w:r>
            <w:proofErr w:type="spellEnd"/>
            <w:r>
              <w:rPr>
                <w:iCs/>
              </w:rPr>
              <w:t xml:space="preserve"> House Catholic Primary School is that all pupils, regardless of their background, </w:t>
            </w:r>
            <w:r w:rsidR="00E43E93">
              <w:rPr>
                <w:iCs/>
              </w:rPr>
              <w:t>their circumstance</w:t>
            </w:r>
            <w:r>
              <w:rPr>
                <w:iCs/>
              </w:rPr>
              <w:t xml:space="preserve"> or the challenges they face, make good progress and achieve high attainment </w:t>
            </w:r>
            <w:r w:rsidR="00E43E93">
              <w:rPr>
                <w:iCs/>
              </w:rPr>
              <w:t>across</w:t>
            </w:r>
            <w:r>
              <w:rPr>
                <w:iCs/>
              </w:rPr>
              <w:t xml:space="preserve"> the curriculum. </w:t>
            </w:r>
            <w:r w:rsidR="00E43E93">
              <w:rPr>
                <w:iCs/>
              </w:rPr>
              <w:t xml:space="preserve"> The focus of our pupil premium strategy is to support disadvantaged pupils to achieve this goal, </w:t>
            </w:r>
            <w:r w:rsidR="00124F63">
              <w:rPr>
                <w:iCs/>
              </w:rPr>
              <w:t xml:space="preserve">including those pupils </w:t>
            </w:r>
            <w:r w:rsidR="00E43E93">
              <w:rPr>
                <w:iCs/>
              </w:rPr>
              <w:t xml:space="preserve">who are already high attainers. </w:t>
            </w:r>
          </w:p>
          <w:p w14:paraId="4B83E553" w14:textId="53CC5C16" w:rsidR="00333056" w:rsidRDefault="00333056">
            <w:pPr>
              <w:spacing w:before="120"/>
              <w:rPr>
                <w:iCs/>
              </w:rPr>
            </w:pPr>
            <w:r>
              <w:rPr>
                <w:iCs/>
              </w:rPr>
              <w:t xml:space="preserve">We will consider the </w:t>
            </w:r>
            <w:r w:rsidR="00124F63">
              <w:rPr>
                <w:iCs/>
              </w:rPr>
              <w:t xml:space="preserve">breadth of </w:t>
            </w:r>
            <w:r>
              <w:rPr>
                <w:iCs/>
              </w:rPr>
              <w:t>challenges that are faced by vulnerable pupils, such as those w</w:t>
            </w:r>
            <w:r w:rsidR="00124F63">
              <w:rPr>
                <w:iCs/>
              </w:rPr>
              <w:t>ho are have</w:t>
            </w:r>
            <w:r>
              <w:rPr>
                <w:iCs/>
              </w:rPr>
              <w:t xml:space="preserve"> mental health challenges who have a social worker. The </w:t>
            </w:r>
            <w:r w:rsidR="00124F63">
              <w:rPr>
                <w:iCs/>
              </w:rPr>
              <w:t>stratagem</w:t>
            </w:r>
            <w:r>
              <w:rPr>
                <w:iCs/>
              </w:rPr>
              <w:t xml:space="preserve"> outlined in this statement </w:t>
            </w:r>
            <w:r w:rsidR="00124F63">
              <w:rPr>
                <w:iCs/>
              </w:rPr>
              <w:t>is also designed to</w:t>
            </w:r>
            <w:r>
              <w:rPr>
                <w:iCs/>
              </w:rPr>
              <w:t xml:space="preserve"> support their needs, regardless of whether they are disadvantaged or not. </w:t>
            </w:r>
          </w:p>
          <w:p w14:paraId="7B76DA17" w14:textId="11A6A718" w:rsidR="00333056" w:rsidRDefault="00124F63">
            <w:pPr>
              <w:spacing w:before="120"/>
              <w:rPr>
                <w:iCs/>
              </w:rPr>
            </w:pPr>
            <w:r>
              <w:rPr>
                <w:iCs/>
              </w:rPr>
              <w:t>Investing</w:t>
            </w:r>
            <w:r w:rsidR="00333056">
              <w:rPr>
                <w:iCs/>
              </w:rPr>
              <w:t xml:space="preserve"> in high quality teaching and supporting ECTs and support staff in their continued development is at the centre of our approach, with a focus on areas in which disadvantages pupils require the most support. This approach is proven to have the greatest impact on closing the disadvantage attainment gap and will also benefit the pupils in our school who are not disadvantaged. Implicit in our intended outcomes detailed below, is the intention that non-disadvantaged pupils’ attainment will be sustained and improved alongside progress for their disadvantaged peers.</w:t>
            </w:r>
          </w:p>
          <w:p w14:paraId="219CEA30" w14:textId="70582628" w:rsidR="00333056" w:rsidRDefault="00333056">
            <w:pPr>
              <w:spacing w:before="120"/>
              <w:rPr>
                <w:iCs/>
              </w:rPr>
            </w:pPr>
            <w:r>
              <w:rPr>
                <w:iCs/>
              </w:rPr>
              <w:t xml:space="preserve">Our school strategy is also fundamental to wider school plans for education recovery following </w:t>
            </w:r>
            <w:r w:rsidR="00124F63">
              <w:rPr>
                <w:iCs/>
              </w:rPr>
              <w:t>the pandemic, notably in hits targeted support through the National Tutoring Programme for pupils whose education has been worst affected, including non-disadvantaged pupils.</w:t>
            </w:r>
          </w:p>
          <w:p w14:paraId="00BCC52C" w14:textId="0142B969" w:rsidR="00124F63" w:rsidRDefault="00124F63">
            <w:pPr>
              <w:spacing w:before="120"/>
              <w:rPr>
                <w:iCs/>
              </w:rPr>
            </w:pPr>
            <w:r>
              <w:rPr>
                <w:iCs/>
              </w:rPr>
              <w:t xml:space="preserve">Our approach will be responsive to common challenges and individual needs, rooted in robust diagnostic assessment. These strategies </w:t>
            </w:r>
            <w:r w:rsidR="004A4DA8">
              <w:rPr>
                <w:iCs/>
              </w:rPr>
              <w:t>will work alongside each other to support pupils to excel.  In order to ensure that these strategies are effective, we will:</w:t>
            </w:r>
          </w:p>
          <w:p w14:paraId="77CF9C73" w14:textId="36CC3C6B" w:rsidR="004A4DA8" w:rsidRDefault="004A4DA8" w:rsidP="004A4DA8">
            <w:pPr>
              <w:pStyle w:val="ListParagraph"/>
              <w:numPr>
                <w:ilvl w:val="0"/>
                <w:numId w:val="14"/>
              </w:numPr>
              <w:spacing w:before="120"/>
              <w:rPr>
                <w:iCs/>
              </w:rPr>
            </w:pPr>
            <w:r>
              <w:rPr>
                <w:iCs/>
              </w:rPr>
              <w:t>ensure that disadvantaged pupils are challenged, including those pupils who are SEN/D or higher attainers</w:t>
            </w:r>
          </w:p>
          <w:p w14:paraId="5436ACB0" w14:textId="5E1989C6" w:rsidR="004A4DA8" w:rsidRDefault="004A4DA8" w:rsidP="004A4DA8">
            <w:pPr>
              <w:pStyle w:val="ListParagraph"/>
              <w:numPr>
                <w:ilvl w:val="0"/>
                <w:numId w:val="14"/>
              </w:numPr>
              <w:spacing w:before="120"/>
              <w:rPr>
                <w:iCs/>
              </w:rPr>
            </w:pPr>
            <w:r>
              <w:rPr>
                <w:iCs/>
              </w:rPr>
              <w:t>intervene early as soon as the need is identified</w:t>
            </w:r>
          </w:p>
          <w:p w14:paraId="3BA2D1E5" w14:textId="382F49C8" w:rsidR="004A4DA8" w:rsidRPr="004A4DA8" w:rsidRDefault="004A4DA8" w:rsidP="004A4DA8">
            <w:pPr>
              <w:pStyle w:val="ListParagraph"/>
              <w:numPr>
                <w:ilvl w:val="0"/>
                <w:numId w:val="14"/>
              </w:numPr>
              <w:spacing w:before="120"/>
              <w:rPr>
                <w:iCs/>
              </w:rPr>
            </w:pPr>
            <w:r>
              <w:rPr>
                <w:iCs/>
              </w:rPr>
              <w:t>adopt a whole school approach in which all staff have a shared responsibility for disadvantaged pupil’s outcomes and raise their expectations</w:t>
            </w:r>
          </w:p>
          <w:p w14:paraId="2A7D54E9" w14:textId="2FD125B9" w:rsidR="00E66558" w:rsidRDefault="00E66558" w:rsidP="004A4DA8">
            <w:pPr>
              <w:pStyle w:val="ListParagraph"/>
              <w:numPr>
                <w:ilvl w:val="0"/>
                <w:numId w:val="0"/>
              </w:numPr>
              <w:ind w:left="720"/>
              <w:rPr>
                <w:i/>
                <w:iCs/>
              </w:rPr>
            </w:pPr>
          </w:p>
        </w:tc>
      </w:tr>
    </w:tbl>
    <w:p w14:paraId="7C03634A" w14:textId="77777777" w:rsidR="004A4DA8" w:rsidRDefault="00333056">
      <w:pPr>
        <w:pStyle w:val="Heading2"/>
        <w:spacing w:before="600"/>
      </w:pPr>
      <w:r>
        <w:lastRenderedPageBreak/>
        <w:t xml:space="preserve"> </w:t>
      </w:r>
    </w:p>
    <w:p w14:paraId="2A7D54EB" w14:textId="32F855E1"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2283C48" w:rsidR="00E66558" w:rsidRPr="00E43E93" w:rsidRDefault="004A4DA8" w:rsidP="00B808E2">
            <w:pPr>
              <w:pStyle w:val="TableRowCentered"/>
              <w:jc w:val="left"/>
            </w:pPr>
            <w:r>
              <w:rPr>
                <w:iCs/>
                <w:sz w:val="22"/>
                <w:szCs w:val="22"/>
              </w:rPr>
              <w:t>Terml</w:t>
            </w:r>
            <w:r w:rsidR="00B808E2">
              <w:rPr>
                <w:iCs/>
                <w:sz w:val="22"/>
                <w:szCs w:val="22"/>
              </w:rPr>
              <w:t xml:space="preserve">y teacher assessment in writing, </w:t>
            </w:r>
            <w:r>
              <w:rPr>
                <w:iCs/>
                <w:sz w:val="22"/>
                <w:szCs w:val="22"/>
              </w:rPr>
              <w:t>scrutiny of pupils’ classwork</w:t>
            </w:r>
            <w:r w:rsidR="00B808E2">
              <w:rPr>
                <w:iCs/>
                <w:sz w:val="22"/>
                <w:szCs w:val="22"/>
              </w:rPr>
              <w:t xml:space="preserve"> and teacher feedback</w:t>
            </w:r>
            <w:r>
              <w:rPr>
                <w:iCs/>
                <w:sz w:val="22"/>
                <w:szCs w:val="22"/>
              </w:rPr>
              <w:t xml:space="preserve"> have indicated that pupils lack understanding of the b</w:t>
            </w:r>
            <w:r w:rsidR="006E2504" w:rsidRPr="00E43E93">
              <w:rPr>
                <w:iCs/>
                <w:sz w:val="22"/>
                <w:szCs w:val="22"/>
              </w:rPr>
              <w:t xml:space="preserve">asic skills </w:t>
            </w:r>
            <w:r>
              <w:rPr>
                <w:iCs/>
                <w:sz w:val="22"/>
                <w:szCs w:val="22"/>
              </w:rPr>
              <w:t xml:space="preserve">needed </w:t>
            </w:r>
            <w:r w:rsidR="006E2504" w:rsidRPr="00E43E93">
              <w:rPr>
                <w:iCs/>
                <w:sz w:val="22"/>
                <w:szCs w:val="22"/>
              </w:rPr>
              <w:t xml:space="preserve">in </w:t>
            </w:r>
            <w:r>
              <w:rPr>
                <w:iCs/>
                <w:sz w:val="22"/>
                <w:szCs w:val="22"/>
              </w:rPr>
              <w:t xml:space="preserve">writing: </w:t>
            </w:r>
            <w:r w:rsidR="00E43E93" w:rsidRPr="00E43E93">
              <w:rPr>
                <w:iCs/>
                <w:sz w:val="22"/>
                <w:szCs w:val="22"/>
              </w:rPr>
              <w:t>grammar, spelling and punctuation</w:t>
            </w:r>
            <w:r>
              <w:rPr>
                <w:iCs/>
                <w:sz w:val="22"/>
                <w:szCs w:val="22"/>
              </w:rPr>
              <w:t xml:space="preserve"> and do not apply these skills into their daily written work.  This is evident throughout both KS1 and KS2 and is apparent in both disadvantaged and non-disadvantaged pupils, although it is more prevalent in disadvantaged pupils.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D6088A3" w:rsidR="00E66558" w:rsidRDefault="004A4DA8" w:rsidP="00B808E2">
            <w:pPr>
              <w:pStyle w:val="TableRowCentered"/>
              <w:jc w:val="left"/>
              <w:rPr>
                <w:sz w:val="22"/>
                <w:szCs w:val="22"/>
              </w:rPr>
            </w:pPr>
            <w:r>
              <w:rPr>
                <w:sz w:val="22"/>
                <w:szCs w:val="22"/>
              </w:rPr>
              <w:t xml:space="preserve">Ongoing formative assessments, </w:t>
            </w:r>
            <w:r w:rsidR="00B808E2">
              <w:rPr>
                <w:sz w:val="22"/>
                <w:szCs w:val="22"/>
              </w:rPr>
              <w:t>pupils</w:t>
            </w:r>
            <w:r w:rsidR="00840881">
              <w:rPr>
                <w:sz w:val="22"/>
                <w:szCs w:val="22"/>
              </w:rPr>
              <w:t>’</w:t>
            </w:r>
            <w:r w:rsidR="00B808E2">
              <w:rPr>
                <w:sz w:val="22"/>
                <w:szCs w:val="22"/>
              </w:rPr>
              <w:t xml:space="preserve"> engagement and participation in lessons, teacher feedback</w:t>
            </w:r>
            <w:r>
              <w:rPr>
                <w:sz w:val="22"/>
                <w:szCs w:val="22"/>
              </w:rPr>
              <w:t xml:space="preserve"> </w:t>
            </w:r>
            <w:r w:rsidR="00F270CC">
              <w:rPr>
                <w:sz w:val="22"/>
                <w:szCs w:val="22"/>
              </w:rPr>
              <w:t>and observations have shown that our disadvantaged pupils, have a more limited exposure to vocabulary than their peers</w:t>
            </w:r>
            <w:r w:rsidR="00546FB3">
              <w:rPr>
                <w:sz w:val="22"/>
                <w:szCs w:val="22"/>
              </w:rPr>
              <w:t>, leading to underdeveloped oral language skills and vocabulary gaps</w:t>
            </w:r>
            <w:r w:rsidR="00F270CC">
              <w:rPr>
                <w:sz w:val="22"/>
                <w:szCs w:val="22"/>
              </w:rPr>
              <w:t xml:space="preserve">. This is evident from EYFS through to KS2. This has become notably more pronounced since the COVID-19 pandemic and has impacted pupils’ attainment across the curriculum, but particularly in reading and writing.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1754A34" w:rsidR="00E66558" w:rsidRDefault="00F270CC" w:rsidP="00726E27">
            <w:pPr>
              <w:pStyle w:val="TableRowCentered"/>
              <w:jc w:val="left"/>
              <w:rPr>
                <w:sz w:val="22"/>
                <w:szCs w:val="22"/>
              </w:rPr>
            </w:pPr>
            <w:r>
              <w:rPr>
                <w:sz w:val="22"/>
                <w:szCs w:val="22"/>
              </w:rPr>
              <w:t>Observations, discussions and attendance of school workshops have highlighted a lack of parental support that is more preva</w:t>
            </w:r>
            <w:r w:rsidR="00726E27">
              <w:rPr>
                <w:sz w:val="22"/>
                <w:szCs w:val="22"/>
              </w:rPr>
              <w:t>lent among disadvantaged pupils. This has particularly impacted progress and attainment in reading and in phonics</w:t>
            </w:r>
            <w:r w:rsidR="00D544AC">
              <w:rPr>
                <w:sz w:val="22"/>
                <w:szCs w:val="22"/>
              </w:rPr>
              <w:t xml:space="preserve"> in Reception and KS1</w:t>
            </w:r>
            <w:r w:rsidR="00726E27">
              <w:rPr>
                <w:sz w:val="22"/>
                <w:szCs w:val="22"/>
              </w:rPr>
              <w: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E2E3FEE" w:rsidR="00E66558" w:rsidRDefault="00D544AC" w:rsidP="00D544AC">
            <w:pPr>
              <w:pStyle w:val="TableRowCentered"/>
              <w:jc w:val="left"/>
              <w:rPr>
                <w:iCs/>
                <w:sz w:val="22"/>
              </w:rPr>
            </w:pPr>
            <w:r>
              <w:rPr>
                <w:iCs/>
                <w:sz w:val="22"/>
              </w:rPr>
              <w:t>Observations and discussion with pupils and families have identified a lack of opportunities for enrichment activities. This particularly affects disadvantaged pupils and has had an impact with their attainment e.g. swimming.</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99F5BCD" w:rsidR="00E66558" w:rsidRDefault="003442C2" w:rsidP="00C21D0A">
            <w:pPr>
              <w:pStyle w:val="TableRowCentered"/>
              <w:jc w:val="left"/>
              <w:rPr>
                <w:iCs/>
                <w:sz w:val="22"/>
              </w:rPr>
            </w:pPr>
            <w:r>
              <w:rPr>
                <w:iCs/>
                <w:sz w:val="22"/>
              </w:rPr>
              <w:t xml:space="preserve">Observations, monitoring and discussions with pupils and families have highlighted that many of our pupils have identified </w:t>
            </w:r>
            <w:r w:rsidR="00C21D0A">
              <w:rPr>
                <w:iCs/>
                <w:sz w:val="22"/>
              </w:rPr>
              <w:t>social,</w:t>
            </w:r>
            <w:r>
              <w:rPr>
                <w:iCs/>
                <w:sz w:val="22"/>
              </w:rPr>
              <w:t xml:space="preserve"> emotional</w:t>
            </w:r>
            <w:r w:rsidR="00C21D0A">
              <w:rPr>
                <w:iCs/>
                <w:sz w:val="22"/>
              </w:rPr>
              <w:t xml:space="preserve"> and safeguarding</w:t>
            </w:r>
            <w:r>
              <w:rPr>
                <w:iCs/>
                <w:sz w:val="22"/>
              </w:rPr>
              <w:t xml:space="preserve"> issues. This is the case for both disadvantaged and non-disadvantaged pupils. This has an impact on their attainment and progress. </w:t>
            </w:r>
            <w:r w:rsidR="00C21D0A">
              <w:rPr>
                <w:iCs/>
                <w:sz w:val="22"/>
              </w:rPr>
              <w:t>100% of the safeguarding referrals made over the past year involve pupils who are disadvantaged.</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96B665E" w:rsidR="00E66558" w:rsidRPr="00546FB3" w:rsidRDefault="00546FB3">
            <w:pPr>
              <w:pStyle w:val="TableRow"/>
            </w:pPr>
            <w:r>
              <w:rPr>
                <w:iCs/>
                <w:sz w:val="22"/>
                <w:szCs w:val="22"/>
              </w:rPr>
              <w:t xml:space="preserve">Improved writing and </w:t>
            </w:r>
            <w:proofErr w:type="spellStart"/>
            <w:r>
              <w:rPr>
                <w:iCs/>
                <w:sz w:val="22"/>
                <w:szCs w:val="22"/>
              </w:rPr>
              <w:t>SPaG</w:t>
            </w:r>
            <w:proofErr w:type="spellEnd"/>
            <w:r>
              <w:rPr>
                <w:iCs/>
                <w:sz w:val="22"/>
                <w:szCs w:val="22"/>
              </w:rPr>
              <w:t xml:space="preserve"> attainment particularly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25E5AAE3" w:rsidR="00E66558" w:rsidRDefault="00160CC9">
            <w:pPr>
              <w:pStyle w:val="TableRowCentered"/>
              <w:jc w:val="left"/>
              <w:rPr>
                <w:sz w:val="22"/>
                <w:szCs w:val="22"/>
              </w:rPr>
            </w:pPr>
            <w:r>
              <w:rPr>
                <w:sz w:val="22"/>
                <w:szCs w:val="22"/>
              </w:rPr>
              <w:t>End of year assessments in KS1 and KS2 show that the writing attainment of disadvantaged pupils is in line with the non-disadvantaged pupils</w:t>
            </w:r>
            <w:r w:rsidR="000C06A0">
              <w:rPr>
                <w:sz w:val="22"/>
                <w:szCs w:val="22"/>
              </w:rPr>
              <w:t>.</w:t>
            </w:r>
            <w:r w:rsidR="00B808E2">
              <w:rPr>
                <w:sz w:val="22"/>
                <w:szCs w:val="22"/>
              </w:rPr>
              <w:t xml:space="preserve">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8F9E0DF" w:rsidR="00E66558" w:rsidRDefault="00546FB3">
            <w:pPr>
              <w:pStyle w:val="TableRow"/>
              <w:rPr>
                <w:sz w:val="22"/>
                <w:szCs w:val="22"/>
              </w:rPr>
            </w:pPr>
            <w:r>
              <w:rPr>
                <w:sz w:val="22"/>
                <w:szCs w:val="22"/>
              </w:rPr>
              <w:lastRenderedPageBreak/>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0E7AFFC" w:rsidR="00E66558" w:rsidRDefault="000C06A0" w:rsidP="000C06A0">
            <w:pPr>
              <w:pStyle w:val="TableRowCentered"/>
              <w:jc w:val="left"/>
              <w:rPr>
                <w:sz w:val="22"/>
                <w:szCs w:val="22"/>
              </w:rPr>
            </w:pPr>
            <w:r>
              <w:rPr>
                <w:sz w:val="22"/>
                <w:szCs w:val="22"/>
              </w:rPr>
              <w:t xml:space="preserve">Assessments, </w:t>
            </w:r>
            <w:r w:rsidR="00B808E2">
              <w:rPr>
                <w:sz w:val="22"/>
                <w:szCs w:val="22"/>
              </w:rPr>
              <w:t xml:space="preserve">observations, pupils’ engagement within lessons </w:t>
            </w:r>
            <w:r>
              <w:rPr>
                <w:sz w:val="22"/>
                <w:szCs w:val="22"/>
              </w:rPr>
              <w:t>and discussions indicate significantly improved oral language with the ability to speak in full sentences for children in Reception. A wider range of vocabulary will be reflected in written work for pupils in KS1 and KS2</w:t>
            </w:r>
            <w:r w:rsidR="009D0063">
              <w:rPr>
                <w:sz w:val="22"/>
                <w:szCs w:val="22"/>
              </w:rPr>
              <w:t>.</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3EE602D" w:rsidR="00E66558" w:rsidRDefault="00183DE8" w:rsidP="00183DE8">
            <w:pPr>
              <w:pStyle w:val="TableRow"/>
              <w:rPr>
                <w:sz w:val="22"/>
                <w:szCs w:val="22"/>
              </w:rPr>
            </w:pPr>
            <w:r>
              <w:rPr>
                <w:sz w:val="22"/>
                <w:szCs w:val="22"/>
              </w:rPr>
              <w:t>To achieve and sustain improved parental support for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796C3" w14:textId="568B1FB3" w:rsidR="009D0063" w:rsidRDefault="00AE28DF">
            <w:pPr>
              <w:pStyle w:val="TableRowCentered"/>
              <w:jc w:val="left"/>
              <w:rPr>
                <w:sz w:val="22"/>
                <w:szCs w:val="22"/>
              </w:rPr>
            </w:pPr>
            <w:r>
              <w:rPr>
                <w:sz w:val="22"/>
                <w:szCs w:val="22"/>
              </w:rPr>
              <w:t>Sustained i</w:t>
            </w:r>
            <w:r w:rsidR="009D0063">
              <w:rPr>
                <w:sz w:val="22"/>
                <w:szCs w:val="22"/>
              </w:rPr>
              <w:t>ncreased parental engagement of our disadvantaged pupils is demonstrated by:</w:t>
            </w:r>
          </w:p>
          <w:p w14:paraId="44789ED9" w14:textId="77777777" w:rsidR="009D0063" w:rsidRDefault="009D0063" w:rsidP="009D0063">
            <w:pPr>
              <w:pStyle w:val="TableRowCentered"/>
              <w:numPr>
                <w:ilvl w:val="0"/>
                <w:numId w:val="15"/>
              </w:numPr>
              <w:jc w:val="left"/>
              <w:rPr>
                <w:sz w:val="22"/>
                <w:szCs w:val="22"/>
              </w:rPr>
            </w:pPr>
            <w:r>
              <w:rPr>
                <w:sz w:val="22"/>
                <w:szCs w:val="22"/>
              </w:rPr>
              <w:t xml:space="preserve">Increased attendance at school workshops </w:t>
            </w:r>
          </w:p>
          <w:p w14:paraId="2A7D550B" w14:textId="5CA4F4AE" w:rsidR="009D0063" w:rsidRPr="00AE28DF" w:rsidRDefault="009D0063" w:rsidP="00AE28DF">
            <w:pPr>
              <w:pStyle w:val="TableRowCentered"/>
              <w:numPr>
                <w:ilvl w:val="0"/>
                <w:numId w:val="15"/>
              </w:numPr>
              <w:jc w:val="left"/>
              <w:rPr>
                <w:sz w:val="22"/>
                <w:szCs w:val="22"/>
              </w:rPr>
            </w:pPr>
            <w:r>
              <w:rPr>
                <w:sz w:val="22"/>
                <w:szCs w:val="22"/>
              </w:rPr>
              <w:t xml:space="preserve">Reading diaries </w:t>
            </w:r>
            <w:r w:rsidR="00AE28DF">
              <w:rPr>
                <w:sz w:val="22"/>
                <w:szCs w:val="22"/>
              </w:rPr>
              <w:t xml:space="preserve">consistently </w:t>
            </w:r>
            <w:r>
              <w:rPr>
                <w:sz w:val="22"/>
                <w:szCs w:val="22"/>
              </w:rPr>
              <w:t>displaying a rise in the number of times families are hearing pupils read each week</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424CDFB" w:rsidR="00E66558" w:rsidRDefault="00183DE8">
            <w:pPr>
              <w:pStyle w:val="TableRow"/>
              <w:rPr>
                <w:sz w:val="22"/>
                <w:szCs w:val="22"/>
              </w:rPr>
            </w:pPr>
            <w:r>
              <w:rPr>
                <w:sz w:val="22"/>
                <w:szCs w:val="22"/>
              </w:rPr>
              <w:t>To provide opportunities for enrichment activities through cultural capital for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D14963F" w:rsidR="00E66558" w:rsidRDefault="00AE28DF">
            <w:pPr>
              <w:pStyle w:val="TableRowCentered"/>
              <w:jc w:val="left"/>
              <w:rPr>
                <w:sz w:val="22"/>
                <w:szCs w:val="22"/>
              </w:rPr>
            </w:pPr>
            <w:r>
              <w:rPr>
                <w:sz w:val="22"/>
                <w:szCs w:val="22"/>
              </w:rPr>
              <w:t>A significant increase in participation in enrichment activities, particularly among disadvantaged pupils by 2024-25</w:t>
            </w:r>
          </w:p>
        </w:tc>
      </w:tr>
      <w:tr w:rsidR="00546FB3" w14:paraId="0B7620C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69CB0" w14:textId="55E635C5" w:rsidR="00546FB3" w:rsidRDefault="00546FB3">
            <w:pPr>
              <w:pStyle w:val="TableRow"/>
              <w:rPr>
                <w:sz w:val="22"/>
                <w:szCs w:val="22"/>
              </w:rPr>
            </w:pPr>
            <w:r>
              <w:rPr>
                <w:sz w:val="22"/>
                <w:szCs w:val="22"/>
              </w:rPr>
              <w:t xml:space="preserve">To achieve and sustain improved wellbeing for all pupils in the school, particularly </w:t>
            </w:r>
            <w:r w:rsidR="00183DE8">
              <w:rPr>
                <w:sz w:val="22"/>
                <w:szCs w:val="22"/>
              </w:rPr>
              <w:t>for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1774D" w14:textId="77777777" w:rsidR="00546FB3" w:rsidRDefault="009D0063">
            <w:pPr>
              <w:pStyle w:val="TableRowCentered"/>
              <w:jc w:val="left"/>
              <w:rPr>
                <w:sz w:val="22"/>
                <w:szCs w:val="22"/>
              </w:rPr>
            </w:pPr>
            <w:r>
              <w:rPr>
                <w:sz w:val="22"/>
                <w:szCs w:val="22"/>
              </w:rPr>
              <w:t>Sustained high levels of wellbeing by 2024/25 demonstrated by:</w:t>
            </w:r>
          </w:p>
          <w:p w14:paraId="5CB0E037" w14:textId="389CBF75" w:rsidR="00AE28DF" w:rsidRDefault="007D6195" w:rsidP="00AE28DF">
            <w:pPr>
              <w:pStyle w:val="TableRowCentered"/>
              <w:numPr>
                <w:ilvl w:val="0"/>
                <w:numId w:val="16"/>
              </w:numPr>
              <w:jc w:val="left"/>
              <w:rPr>
                <w:sz w:val="22"/>
                <w:szCs w:val="22"/>
              </w:rPr>
            </w:pPr>
            <w:r>
              <w:rPr>
                <w:sz w:val="22"/>
                <w:szCs w:val="22"/>
              </w:rPr>
              <w:t>increased capacity</w:t>
            </w:r>
            <w:r w:rsidR="00AD1C32">
              <w:rPr>
                <w:sz w:val="22"/>
                <w:szCs w:val="22"/>
              </w:rPr>
              <w:t xml:space="preserve"> to self-regulate</w:t>
            </w:r>
          </w:p>
          <w:p w14:paraId="0ABD3200" w14:textId="7ACCE728" w:rsidR="00AE28DF" w:rsidRDefault="00AE28DF" w:rsidP="00AE28DF">
            <w:pPr>
              <w:pStyle w:val="TableRowCentered"/>
              <w:numPr>
                <w:ilvl w:val="0"/>
                <w:numId w:val="16"/>
              </w:numPr>
              <w:jc w:val="left"/>
              <w:rPr>
                <w:sz w:val="22"/>
                <w:szCs w:val="22"/>
              </w:rPr>
            </w:pPr>
            <w:r>
              <w:rPr>
                <w:sz w:val="22"/>
                <w:szCs w:val="22"/>
              </w:rPr>
              <w:t xml:space="preserve">a reduction in the number of referrals </w:t>
            </w:r>
            <w:r w:rsidR="00AD1C32">
              <w:rPr>
                <w:sz w:val="22"/>
                <w:szCs w:val="22"/>
              </w:rPr>
              <w:t xml:space="preserve">to children’s services </w:t>
            </w:r>
            <w:r>
              <w:rPr>
                <w:sz w:val="22"/>
                <w:szCs w:val="22"/>
              </w:rPr>
              <w:t>made for disadvantaged pupils</w:t>
            </w:r>
          </w:p>
          <w:p w14:paraId="33B9DC20" w14:textId="65073AFB" w:rsidR="00AE28DF" w:rsidRDefault="00AE28DF" w:rsidP="00AE28DF">
            <w:pPr>
              <w:pStyle w:val="TableRowCentered"/>
              <w:numPr>
                <w:ilvl w:val="0"/>
                <w:numId w:val="16"/>
              </w:numPr>
              <w:jc w:val="left"/>
              <w:rPr>
                <w:sz w:val="22"/>
                <w:szCs w:val="22"/>
              </w:rPr>
            </w:pPr>
            <w:r>
              <w:rPr>
                <w:sz w:val="22"/>
                <w:szCs w:val="22"/>
              </w:rPr>
              <w:t>qualitative data from pupil voice, parent surveys and teacher observations</w:t>
            </w:r>
          </w:p>
          <w:p w14:paraId="5626040C" w14:textId="3A708C25" w:rsidR="00AE28DF" w:rsidRDefault="00AE28DF" w:rsidP="00AE28DF">
            <w:pPr>
              <w:pStyle w:val="TableRowCentered"/>
              <w:ind w:left="777"/>
              <w:jc w:val="left"/>
              <w:rPr>
                <w:sz w:val="22"/>
                <w:szCs w:val="22"/>
              </w:rPr>
            </w:pP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357FF63B" w14:textId="40B0564C" w:rsidR="00AD1C32" w:rsidRDefault="009D71E8">
      <w:r>
        <w:t>Budgeted cost:</w:t>
      </w:r>
      <w:r w:rsidR="00AD1C32">
        <w:t xml:space="preserve"> </w:t>
      </w:r>
    </w:p>
    <w:p w14:paraId="2A7D5515" w14:textId="52988F6A" w:rsidR="00E66558" w:rsidRDefault="00AD1C32">
      <w:r>
        <w:t>- 1.75 days per week cover for ECTs</w:t>
      </w:r>
      <w:r w:rsidR="009D71E8">
        <w:t xml:space="preserve"> </w:t>
      </w:r>
    </w:p>
    <w:p w14:paraId="712DF4E8" w14:textId="2798947F" w:rsidR="00AD1C32" w:rsidRDefault="00AD1C32">
      <w:r>
        <w:t>- New ICT tutor induction training and release time</w:t>
      </w:r>
    </w:p>
    <w:tbl>
      <w:tblPr>
        <w:tblW w:w="5000" w:type="pct"/>
        <w:tblCellMar>
          <w:left w:w="10" w:type="dxa"/>
          <w:right w:w="10" w:type="dxa"/>
        </w:tblCellMar>
        <w:tblLook w:val="04A0" w:firstRow="1" w:lastRow="0" w:firstColumn="1" w:lastColumn="0" w:noHBand="0" w:noVBand="1"/>
      </w:tblPr>
      <w:tblGrid>
        <w:gridCol w:w="1900"/>
        <w:gridCol w:w="5871"/>
        <w:gridCol w:w="1715"/>
      </w:tblGrid>
      <w:tr w:rsidR="00E66558" w14:paraId="2A7D5519" w14:textId="77777777" w:rsidTr="00D34890">
        <w:tc>
          <w:tcPr>
            <w:tcW w:w="24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lastRenderedPageBreak/>
              <w:t>Activity</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2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D34890">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C745868" w:rsidR="00E66558" w:rsidRPr="00AE28DF" w:rsidRDefault="00AE28DF">
            <w:pPr>
              <w:pStyle w:val="TableRow"/>
            </w:pPr>
            <w:r>
              <w:rPr>
                <w:iCs/>
                <w:sz w:val="22"/>
                <w:szCs w:val="22"/>
              </w:rPr>
              <w:t>Providing ECTs with a learning mentor</w:t>
            </w:r>
            <w:r w:rsidR="00A508EA">
              <w:rPr>
                <w:iCs/>
                <w:sz w:val="22"/>
                <w:szCs w:val="22"/>
              </w:rPr>
              <w:t>s and access to the ‘Early Career Teacher P</w:t>
            </w:r>
            <w:r w:rsidR="008F1880">
              <w:rPr>
                <w:iCs/>
                <w:sz w:val="22"/>
                <w:szCs w:val="22"/>
              </w:rPr>
              <w:t>rogramme</w:t>
            </w:r>
            <w:r w:rsidR="00A508EA">
              <w:rPr>
                <w:iCs/>
                <w:sz w:val="22"/>
                <w:szCs w:val="22"/>
              </w:rPr>
              <w:t>’ through UCL.</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A1BC1" w14:textId="77777777" w:rsidR="001C2DE9" w:rsidRDefault="00BE1578" w:rsidP="001C2DE9">
            <w:pPr>
              <w:pStyle w:val="TableRowCentered"/>
              <w:jc w:val="left"/>
              <w:rPr>
                <w:rFonts w:cs="Arial"/>
                <w:color w:val="353535"/>
                <w:sz w:val="26"/>
                <w:szCs w:val="26"/>
                <w:shd w:val="clear" w:color="auto" w:fill="FFFFFF"/>
              </w:rPr>
            </w:pPr>
            <w:r>
              <w:rPr>
                <w:sz w:val="22"/>
              </w:rPr>
              <w:t xml:space="preserve">There is strong evidence to suggest that </w:t>
            </w:r>
            <w:r w:rsidR="001C2DE9">
              <w:rPr>
                <w:sz w:val="22"/>
              </w:rPr>
              <w:t xml:space="preserve">providing ECTs with a learning mentor and coach as well as enrolling them in a robust programme </w:t>
            </w:r>
            <w:r w:rsidRPr="00BE1578">
              <w:rPr>
                <w:sz w:val="22"/>
              </w:rPr>
              <w:t>strengthens the quality of pedagogy and learning.</w:t>
            </w:r>
            <w:r w:rsidR="001C2DE9">
              <w:rPr>
                <w:sz w:val="22"/>
              </w:rPr>
              <w:t xml:space="preserve">  It also creates </w:t>
            </w:r>
            <w:r w:rsidRPr="00BE1578">
              <w:rPr>
                <w:sz w:val="22"/>
              </w:rPr>
              <w:t>a culture that leads to unconscious and reflective competence.</w:t>
            </w:r>
            <w:r w:rsidR="001C2DE9">
              <w:rPr>
                <w:sz w:val="22"/>
              </w:rPr>
              <w:t xml:space="preserve"> C</w:t>
            </w:r>
            <w:r w:rsidR="001C2DE9" w:rsidRPr="001C2DE9">
              <w:rPr>
                <w:sz w:val="22"/>
              </w:rPr>
              <w:t xml:space="preserve">oaching is a powerful way of creating opportunities for </w:t>
            </w:r>
            <w:r w:rsidR="001C2DE9">
              <w:rPr>
                <w:sz w:val="22"/>
              </w:rPr>
              <w:t>ECTs</w:t>
            </w:r>
            <w:r w:rsidR="001C2DE9" w:rsidRPr="001C2DE9">
              <w:rPr>
                <w:sz w:val="22"/>
              </w:rPr>
              <w:t xml:space="preserve"> to find their own solutions, to be self-aware and know their strengths and gaps in learning. </w:t>
            </w:r>
            <w:r w:rsidR="001C2DE9">
              <w:rPr>
                <w:sz w:val="22"/>
              </w:rPr>
              <w:t xml:space="preserve"> </w:t>
            </w:r>
            <w:r w:rsidR="001C2DE9">
              <w:rPr>
                <w:rFonts w:cs="Arial"/>
                <w:color w:val="353535"/>
                <w:sz w:val="26"/>
                <w:szCs w:val="26"/>
                <w:shd w:val="clear" w:color="auto" w:fill="FFFFFF"/>
              </w:rPr>
              <w:t> </w:t>
            </w:r>
          </w:p>
          <w:p w14:paraId="509E317A" w14:textId="77777777" w:rsidR="001C2DE9" w:rsidRDefault="001C2DE9" w:rsidP="001C2DE9">
            <w:pPr>
              <w:pStyle w:val="TableRowCentered"/>
              <w:jc w:val="left"/>
              <w:rPr>
                <w:rFonts w:cs="Arial"/>
                <w:color w:val="353535"/>
                <w:sz w:val="26"/>
                <w:szCs w:val="26"/>
                <w:shd w:val="clear" w:color="auto" w:fill="FFFFFF"/>
              </w:rPr>
            </w:pPr>
          </w:p>
          <w:p w14:paraId="162E5F5E" w14:textId="77777777" w:rsidR="00E66558" w:rsidRDefault="004C25EB" w:rsidP="001C2DE9">
            <w:pPr>
              <w:pStyle w:val="TableRowCentered"/>
              <w:jc w:val="left"/>
              <w:rPr>
                <w:rFonts w:cs="Arial"/>
                <w:color w:val="353535"/>
                <w:sz w:val="22"/>
                <w:szCs w:val="22"/>
                <w:shd w:val="clear" w:color="auto" w:fill="FFFFFF"/>
              </w:rPr>
            </w:pPr>
            <w:hyperlink r:id="rId14" w:tgtFrame="_blank" w:history="1">
              <w:r w:rsidR="001C2DE9" w:rsidRPr="001C2DE9">
                <w:rPr>
                  <w:rStyle w:val="Strong"/>
                  <w:rFonts w:cs="Arial"/>
                  <w:b w:val="0"/>
                  <w:color w:val="000000" w:themeColor="text1"/>
                  <w:sz w:val="22"/>
                  <w:szCs w:val="22"/>
                  <w:shd w:val="clear" w:color="auto" w:fill="FFFFFF"/>
                </w:rPr>
                <w:t>The ECT Framework</w:t>
              </w:r>
              <w:r w:rsidR="001C2DE9" w:rsidRPr="001C2DE9">
                <w:rPr>
                  <w:rStyle w:val="Hyperlink"/>
                  <w:rFonts w:cs="Arial"/>
                  <w:color w:val="000000" w:themeColor="text1"/>
                  <w:sz w:val="22"/>
                  <w:szCs w:val="22"/>
                  <w:u w:val="none"/>
                  <w:shd w:val="clear" w:color="auto" w:fill="FFFFFF"/>
                </w:rPr>
                <w:t> </w:t>
              </w:r>
            </w:hyperlink>
            <w:r w:rsidR="001C2DE9" w:rsidRPr="001C2DE9">
              <w:rPr>
                <w:rFonts w:cs="Arial"/>
                <w:color w:val="000000" w:themeColor="text1"/>
                <w:sz w:val="22"/>
                <w:szCs w:val="22"/>
                <w:shd w:val="clear" w:color="auto" w:fill="FFFFFF"/>
              </w:rPr>
              <w:t>provides a set of standards that are closely aligned to </w:t>
            </w:r>
            <w:hyperlink r:id="rId15" w:tgtFrame="_blank" w:history="1">
              <w:r w:rsidR="001C2DE9" w:rsidRPr="001C2DE9">
                <w:rPr>
                  <w:rStyle w:val="Hyperlink"/>
                  <w:rFonts w:cs="Arial"/>
                  <w:bCs/>
                  <w:color w:val="000000" w:themeColor="text1"/>
                  <w:sz w:val="22"/>
                  <w:szCs w:val="22"/>
                  <w:u w:val="none"/>
                </w:rPr>
                <w:t>the Teachers’ Standards</w:t>
              </w:r>
            </w:hyperlink>
            <w:r w:rsidR="001C2DE9" w:rsidRPr="001C2DE9">
              <w:rPr>
                <w:rFonts w:cs="Arial"/>
                <w:color w:val="000000" w:themeColor="text1"/>
                <w:sz w:val="22"/>
                <w:szCs w:val="22"/>
                <w:shd w:val="clear" w:color="auto" w:fill="FFFFFF"/>
              </w:rPr>
              <w:t> and build on what has gone before in terms of </w:t>
            </w:r>
            <w:hyperlink r:id="rId16" w:tgtFrame="_blank" w:history="1">
              <w:r w:rsidR="001C2DE9" w:rsidRPr="001C2DE9">
                <w:rPr>
                  <w:rStyle w:val="Hyperlink"/>
                  <w:rFonts w:cs="Arial"/>
                  <w:bCs/>
                  <w:color w:val="000000" w:themeColor="text1"/>
                  <w:sz w:val="22"/>
                  <w:szCs w:val="22"/>
                  <w:u w:val="none"/>
                </w:rPr>
                <w:t>initial teacher training (ITT)</w:t>
              </w:r>
            </w:hyperlink>
            <w:r w:rsidR="001C2DE9" w:rsidRPr="001C2DE9">
              <w:rPr>
                <w:rFonts w:cs="Arial"/>
                <w:color w:val="353535"/>
                <w:sz w:val="22"/>
                <w:szCs w:val="22"/>
                <w:shd w:val="clear" w:color="auto" w:fill="FFFFFF"/>
              </w:rPr>
              <w:t>.</w:t>
            </w:r>
            <w:r w:rsidR="001C2DE9">
              <w:rPr>
                <w:rFonts w:cs="Arial"/>
                <w:color w:val="353535"/>
                <w:sz w:val="22"/>
                <w:szCs w:val="22"/>
                <w:shd w:val="clear" w:color="auto" w:fill="FFFFFF"/>
              </w:rPr>
              <w:t xml:space="preserve"> </w:t>
            </w:r>
          </w:p>
          <w:p w14:paraId="7354A97E" w14:textId="77777777" w:rsidR="003E2BE7" w:rsidRDefault="003E2BE7" w:rsidP="001C2DE9">
            <w:pPr>
              <w:pStyle w:val="TableRowCentered"/>
              <w:jc w:val="left"/>
              <w:rPr>
                <w:rFonts w:cs="Arial"/>
                <w:color w:val="353535"/>
                <w:sz w:val="22"/>
                <w:szCs w:val="22"/>
                <w:shd w:val="clear" w:color="auto" w:fill="FFFFFF"/>
              </w:rPr>
            </w:pPr>
          </w:p>
          <w:p w14:paraId="2F4683CC" w14:textId="07B745C2" w:rsidR="003E2BE7" w:rsidRDefault="004C25EB" w:rsidP="001C2DE9">
            <w:pPr>
              <w:pStyle w:val="TableRowCentered"/>
              <w:jc w:val="left"/>
              <w:rPr>
                <w:rStyle w:val="Hyperlink"/>
                <w:rFonts w:cs="Arial"/>
                <w:sz w:val="22"/>
                <w:szCs w:val="22"/>
                <w:shd w:val="clear" w:color="auto" w:fill="FFFFFF"/>
              </w:rPr>
            </w:pPr>
            <w:hyperlink r:id="rId17" w:history="1">
              <w:r w:rsidR="003E2BE7" w:rsidRPr="003E2BE7">
                <w:rPr>
                  <w:rStyle w:val="Hyperlink"/>
                  <w:rFonts w:cs="Arial"/>
                  <w:sz w:val="22"/>
                  <w:szCs w:val="22"/>
                  <w:shd w:val="clear" w:color="auto" w:fill="FFFFFF"/>
                </w:rPr>
                <w:t>https://www.ucl.ac.uk/ioe/departments-and-centres/departments/learning-and-leadership/early-career-framework</w:t>
              </w:r>
            </w:hyperlink>
          </w:p>
          <w:p w14:paraId="1CFBD515" w14:textId="727B3214" w:rsidR="00840881" w:rsidRDefault="00840881" w:rsidP="001C2DE9">
            <w:pPr>
              <w:pStyle w:val="TableRowCentered"/>
              <w:jc w:val="left"/>
              <w:rPr>
                <w:rStyle w:val="Hyperlink"/>
                <w:rFonts w:cs="Arial"/>
                <w:sz w:val="22"/>
                <w:szCs w:val="22"/>
                <w:shd w:val="clear" w:color="auto" w:fill="FFFFFF"/>
              </w:rPr>
            </w:pPr>
          </w:p>
          <w:p w14:paraId="5C26A031" w14:textId="11506851" w:rsidR="00840881" w:rsidRDefault="004C25EB" w:rsidP="001C2DE9">
            <w:pPr>
              <w:pStyle w:val="TableRowCentered"/>
              <w:jc w:val="left"/>
              <w:rPr>
                <w:rFonts w:cs="Arial"/>
                <w:color w:val="353535"/>
                <w:sz w:val="22"/>
                <w:szCs w:val="22"/>
                <w:shd w:val="clear" w:color="auto" w:fill="FFFFFF"/>
              </w:rPr>
            </w:pPr>
            <w:hyperlink r:id="rId18" w:history="1">
              <w:r w:rsidR="00840881" w:rsidRPr="004868F5">
                <w:rPr>
                  <w:rStyle w:val="Hyperlink"/>
                  <w:rFonts w:cs="Arial"/>
                  <w:sz w:val="22"/>
                  <w:szCs w:val="22"/>
                  <w:shd w:val="clear" w:color="auto" w:fill="FFFFFF"/>
                </w:rPr>
                <w:t>https://educationendowmentfoundation.org.uk/</w:t>
              </w:r>
            </w:hyperlink>
          </w:p>
          <w:p w14:paraId="7B3D28CA" w14:textId="5C91B055" w:rsidR="00840881" w:rsidRPr="00840881" w:rsidRDefault="00840881" w:rsidP="001C2DE9">
            <w:pPr>
              <w:pStyle w:val="TableRowCentered"/>
              <w:jc w:val="left"/>
              <w:rPr>
                <w:rFonts w:cs="Arial"/>
                <w:color w:val="0000FF"/>
                <w:sz w:val="22"/>
                <w:szCs w:val="22"/>
                <w:u w:val="single"/>
                <w:shd w:val="clear" w:color="auto" w:fill="FFFFFF"/>
              </w:rPr>
            </w:pPr>
            <w:r w:rsidRPr="00840881">
              <w:rPr>
                <w:rFonts w:cs="Arial"/>
                <w:color w:val="0000FF"/>
                <w:sz w:val="22"/>
                <w:szCs w:val="22"/>
                <w:u w:val="single"/>
                <w:shd w:val="clear" w:color="auto" w:fill="FFFFFF"/>
              </w:rPr>
              <w:t>education-evidence/guidance-reports/effective-professional-development</w:t>
            </w:r>
          </w:p>
          <w:p w14:paraId="2A7D551B" w14:textId="3CFF755F" w:rsidR="003E2BE7" w:rsidRDefault="003E2BE7" w:rsidP="001C2DE9">
            <w:pPr>
              <w:pStyle w:val="TableRowCentered"/>
              <w:jc w:val="left"/>
              <w:rPr>
                <w:sz w:val="22"/>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9681304" w:rsidR="00E66558" w:rsidRDefault="00BE1578">
            <w:pPr>
              <w:pStyle w:val="TableRowCentered"/>
              <w:jc w:val="left"/>
              <w:rPr>
                <w:sz w:val="22"/>
              </w:rPr>
            </w:pPr>
            <w:r>
              <w:rPr>
                <w:sz w:val="22"/>
              </w:rPr>
              <w:t>1,2</w:t>
            </w:r>
            <w:r w:rsidR="00840881">
              <w:rPr>
                <w:sz w:val="22"/>
              </w:rPr>
              <w:t>,5</w:t>
            </w:r>
          </w:p>
        </w:tc>
      </w:tr>
      <w:tr w:rsidR="00784392" w14:paraId="5D3319A1" w14:textId="77777777" w:rsidTr="00D34890">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3C72" w14:textId="5B8C9C0B" w:rsidR="00784392" w:rsidRDefault="00784392">
            <w:pPr>
              <w:pStyle w:val="TableRow"/>
              <w:rPr>
                <w:iCs/>
                <w:sz w:val="22"/>
                <w:szCs w:val="22"/>
              </w:rPr>
            </w:pPr>
            <w:r>
              <w:rPr>
                <w:iCs/>
                <w:sz w:val="22"/>
                <w:szCs w:val="22"/>
              </w:rPr>
              <w:t>Recruiting high quality teaching staff</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7604B" w14:textId="77777777" w:rsidR="00784392" w:rsidRPr="00784392" w:rsidRDefault="00784392" w:rsidP="00784392">
            <w:pPr>
              <w:pStyle w:val="TableRowCentered"/>
              <w:jc w:val="left"/>
              <w:rPr>
                <w:sz w:val="22"/>
              </w:rPr>
            </w:pPr>
            <w:r w:rsidRPr="00784392">
              <w:rPr>
                <w:sz w:val="22"/>
              </w:rPr>
              <w:t>Evidence indicates that high quality teaching is the most important lever schools have to improve pupil</w:t>
            </w:r>
          </w:p>
          <w:p w14:paraId="3EF8AA69" w14:textId="77777777" w:rsidR="00784392" w:rsidRDefault="00784392" w:rsidP="00784392">
            <w:pPr>
              <w:pStyle w:val="TableRowCentered"/>
              <w:jc w:val="left"/>
              <w:rPr>
                <w:sz w:val="22"/>
              </w:rPr>
            </w:pPr>
            <w:r w:rsidRPr="00784392">
              <w:rPr>
                <w:sz w:val="22"/>
              </w:rPr>
              <w:t>attainment, including for disadvantaged pupils</w:t>
            </w:r>
            <w:r>
              <w:rPr>
                <w:sz w:val="22"/>
              </w:rPr>
              <w:t>.</w:t>
            </w:r>
          </w:p>
          <w:p w14:paraId="7E5118BB" w14:textId="77777777" w:rsidR="00784392" w:rsidRDefault="00784392" w:rsidP="00784392">
            <w:pPr>
              <w:pStyle w:val="TableRowCentered"/>
              <w:jc w:val="left"/>
              <w:rPr>
                <w:sz w:val="22"/>
              </w:rPr>
            </w:pPr>
          </w:p>
          <w:p w14:paraId="19E78A34" w14:textId="5809EF2C" w:rsidR="00784392" w:rsidRDefault="004C25EB" w:rsidP="00784392">
            <w:pPr>
              <w:pStyle w:val="TableRowCentered"/>
              <w:jc w:val="left"/>
              <w:rPr>
                <w:sz w:val="22"/>
              </w:rPr>
            </w:pPr>
            <w:hyperlink r:id="rId19" w:history="1">
              <w:r w:rsidR="00784392" w:rsidRPr="004868F5">
                <w:rPr>
                  <w:rStyle w:val="Hyperlink"/>
                  <w:sz w:val="22"/>
                </w:rPr>
                <w:t>https://assets.website-files.com/5ee28729f7b4a5fa99bef2b3/5ee9f507021911</w:t>
              </w:r>
            </w:hyperlink>
          </w:p>
          <w:p w14:paraId="1657FCC4" w14:textId="77777777" w:rsidR="00784392" w:rsidRPr="00784392" w:rsidRDefault="00784392" w:rsidP="00784392">
            <w:pPr>
              <w:pStyle w:val="TableRowCentered"/>
              <w:jc w:val="left"/>
              <w:rPr>
                <w:color w:val="0000FF"/>
                <w:sz w:val="22"/>
                <w:u w:val="single"/>
              </w:rPr>
            </w:pPr>
            <w:r w:rsidRPr="00784392">
              <w:rPr>
                <w:color w:val="0000FF"/>
                <w:sz w:val="22"/>
                <w:u w:val="single"/>
              </w:rPr>
              <w:t>ae35ac6c4d_EBE_GTT_EVIDENCE%20REVIEW_</w:t>
            </w:r>
          </w:p>
          <w:p w14:paraId="0DF04B60" w14:textId="77777777" w:rsidR="00784392" w:rsidRPr="00784392" w:rsidRDefault="00784392" w:rsidP="00784392">
            <w:pPr>
              <w:pStyle w:val="TableRowCentered"/>
              <w:jc w:val="left"/>
              <w:rPr>
                <w:color w:val="0000FF"/>
                <w:sz w:val="22"/>
                <w:u w:val="single"/>
              </w:rPr>
            </w:pPr>
            <w:proofErr w:type="spellStart"/>
            <w:proofErr w:type="gramStart"/>
            <w:r w:rsidRPr="00784392">
              <w:rPr>
                <w:color w:val="0000FF"/>
                <w:sz w:val="22"/>
                <w:u w:val="single"/>
              </w:rPr>
              <w:t>DIGITAL.pdf?utm</w:t>
            </w:r>
            <w:proofErr w:type="gramEnd"/>
            <w:r w:rsidRPr="00784392">
              <w:rPr>
                <w:color w:val="0000FF"/>
                <w:sz w:val="22"/>
                <w:u w:val="single"/>
              </w:rPr>
              <w:t>_referrer</w:t>
            </w:r>
            <w:proofErr w:type="spellEnd"/>
            <w:r w:rsidRPr="00784392">
              <w:rPr>
                <w:color w:val="0000FF"/>
                <w:sz w:val="22"/>
                <w:u w:val="single"/>
              </w:rPr>
              <w:t>=https%3A%2F%2Fwww.</w:t>
            </w:r>
          </w:p>
          <w:p w14:paraId="0652C7B2" w14:textId="485676AC" w:rsidR="00784392" w:rsidRDefault="00784392" w:rsidP="00784392">
            <w:pPr>
              <w:pStyle w:val="TableRowCentered"/>
              <w:jc w:val="left"/>
              <w:rPr>
                <w:sz w:val="22"/>
              </w:rPr>
            </w:pPr>
            <w:r w:rsidRPr="00784392">
              <w:rPr>
                <w:color w:val="0000FF"/>
                <w:sz w:val="22"/>
                <w:u w:val="single"/>
              </w:rPr>
              <w:t>greatteaching.com%2F</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3A8E5" w14:textId="77777777" w:rsidR="00784392" w:rsidRDefault="00784392">
            <w:pPr>
              <w:pStyle w:val="TableRowCentered"/>
              <w:jc w:val="left"/>
              <w:rPr>
                <w:sz w:val="22"/>
              </w:rPr>
            </w:pPr>
          </w:p>
        </w:tc>
      </w:tr>
      <w:tr w:rsidR="00E66558" w14:paraId="2A7D5521" w14:textId="77777777" w:rsidTr="00D34890">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33901D7F" w:rsidR="00E66558" w:rsidRPr="008F1880" w:rsidRDefault="008F1880" w:rsidP="00D34890">
            <w:pPr>
              <w:pStyle w:val="TableRow"/>
              <w:rPr>
                <w:sz w:val="22"/>
              </w:rPr>
            </w:pPr>
            <w:r>
              <w:rPr>
                <w:sz w:val="22"/>
              </w:rPr>
              <w:t>Developing robust pro</w:t>
            </w:r>
            <w:r w:rsidR="00453FD8">
              <w:rPr>
                <w:sz w:val="22"/>
              </w:rPr>
              <w:t xml:space="preserve">fessional development for teaching and support </w:t>
            </w:r>
            <w:r w:rsidR="00D34890">
              <w:rPr>
                <w:sz w:val="22"/>
              </w:rPr>
              <w:t>through t</w:t>
            </w:r>
            <w:r w:rsidR="00453FD8">
              <w:rPr>
                <w:sz w:val="22"/>
              </w:rPr>
              <w:t>he National College</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D1BB2" w14:textId="77777777" w:rsidR="00E66558" w:rsidRDefault="00840881">
            <w:pPr>
              <w:pStyle w:val="TableRowCentered"/>
              <w:jc w:val="left"/>
              <w:rPr>
                <w:sz w:val="22"/>
              </w:rPr>
            </w:pPr>
            <w:r w:rsidRPr="00840881">
              <w:rPr>
                <w:sz w:val="22"/>
              </w:rPr>
              <w:t>Supporting high quality teaching is pivotal in improving children’s outcomes. Indeed, research tells us that high quality teaching can narrow the disadvantage gap. It is therefore hugely encouraging to see a host of new initiatives and reforms that recognise the importance of teacher quality such as the Early Career Framework and the new National Professional Qualifications. These exemplify a growing consensus that promoting effective professional development (PD) plays a crucial role in improving classroom practice and pupil outcomes, and this guidance further reflects this, offering recommendations on how to improve professional development and design and select more impactful PD.</w:t>
            </w:r>
          </w:p>
          <w:p w14:paraId="6186EFEB" w14:textId="77777777" w:rsidR="00840881" w:rsidRDefault="00840881">
            <w:pPr>
              <w:pStyle w:val="TableRowCentered"/>
              <w:jc w:val="left"/>
              <w:rPr>
                <w:sz w:val="22"/>
              </w:rPr>
            </w:pPr>
          </w:p>
          <w:p w14:paraId="2FA0C96C" w14:textId="6388EB7B" w:rsidR="00840881" w:rsidRDefault="004C25EB">
            <w:pPr>
              <w:pStyle w:val="TableRowCentered"/>
              <w:jc w:val="left"/>
              <w:rPr>
                <w:sz w:val="22"/>
              </w:rPr>
            </w:pPr>
            <w:hyperlink r:id="rId20" w:history="1">
              <w:r w:rsidR="00840881" w:rsidRPr="004868F5">
                <w:rPr>
                  <w:rStyle w:val="Hyperlink"/>
                  <w:sz w:val="22"/>
                </w:rPr>
                <w:t>https://educationendowmentfoundation.org.uk/</w:t>
              </w:r>
            </w:hyperlink>
          </w:p>
          <w:p w14:paraId="2A7D551F" w14:textId="46D334E3" w:rsidR="00840881" w:rsidRPr="00840881" w:rsidRDefault="00840881">
            <w:pPr>
              <w:pStyle w:val="TableRowCentered"/>
              <w:jc w:val="left"/>
              <w:rPr>
                <w:sz w:val="22"/>
                <w:u w:val="single"/>
              </w:rPr>
            </w:pPr>
            <w:r w:rsidRPr="00840881">
              <w:rPr>
                <w:color w:val="0000FF"/>
                <w:sz w:val="22"/>
                <w:u w:val="single"/>
              </w:rPr>
              <w:lastRenderedPageBreak/>
              <w:t>education-evidence/guidance-reports/effective-professional-development</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AE549F2" w:rsidR="00E66558" w:rsidRDefault="00BE1578">
            <w:pPr>
              <w:pStyle w:val="TableRowCentered"/>
              <w:jc w:val="left"/>
              <w:rPr>
                <w:sz w:val="22"/>
              </w:rPr>
            </w:pPr>
            <w:r>
              <w:rPr>
                <w:sz w:val="22"/>
              </w:rPr>
              <w:lastRenderedPageBreak/>
              <w:t>1,2</w:t>
            </w:r>
            <w:r w:rsidR="00840881">
              <w:rPr>
                <w:sz w:val="22"/>
              </w:rPr>
              <w:t>,3,4,5</w:t>
            </w:r>
          </w:p>
        </w:tc>
      </w:tr>
      <w:tr w:rsidR="00A508EA" w14:paraId="1F86AD88" w14:textId="77777777" w:rsidTr="00D34890">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E19B5" w14:textId="280DE283" w:rsidR="00A508EA" w:rsidRDefault="00752B7F">
            <w:pPr>
              <w:pStyle w:val="TableRow"/>
              <w:rPr>
                <w:sz w:val="22"/>
              </w:rPr>
            </w:pPr>
            <w:r>
              <w:rPr>
                <w:sz w:val="22"/>
              </w:rPr>
              <w:lastRenderedPageBreak/>
              <w:t xml:space="preserve">Purchase of </w:t>
            </w:r>
            <w:r w:rsidR="00942B90">
              <w:rPr>
                <w:sz w:val="22"/>
              </w:rPr>
              <w:t>GL Assessment</w:t>
            </w:r>
            <w:r w:rsidR="00E83BFE">
              <w:rPr>
                <w:sz w:val="22"/>
              </w:rPr>
              <w:t xml:space="preserve"> </w:t>
            </w:r>
            <w:r w:rsidR="00942B90">
              <w:rPr>
                <w:sz w:val="22"/>
              </w:rPr>
              <w:t xml:space="preserve"> </w:t>
            </w:r>
            <w:r>
              <w:rPr>
                <w:sz w:val="22"/>
              </w:rPr>
              <w:t>stan</w:t>
            </w:r>
            <w:r w:rsidR="00942B90">
              <w:rPr>
                <w:sz w:val="22"/>
              </w:rPr>
              <w:t xml:space="preserve">dardised diagnostic assessment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C5D2" w14:textId="77777777" w:rsidR="00A508EA" w:rsidRDefault="00942B90">
            <w:pPr>
              <w:pStyle w:val="TableRowCentered"/>
              <w:jc w:val="left"/>
              <w:rPr>
                <w:sz w:val="22"/>
              </w:rPr>
            </w:pPr>
            <w:r>
              <w:rPr>
                <w:sz w:val="22"/>
              </w:rPr>
              <w:t>Diagnostic assessments can provide reliable insights into the specific strengths and weaknesses of each pupil and highlight the areas in w</w:t>
            </w:r>
            <w:r w:rsidR="00941D3C">
              <w:rPr>
                <w:sz w:val="22"/>
              </w:rPr>
              <w:t>hich they need targeted support.</w:t>
            </w:r>
          </w:p>
          <w:p w14:paraId="67E88A42" w14:textId="77777777" w:rsidR="00941D3C" w:rsidRDefault="00941D3C">
            <w:pPr>
              <w:pStyle w:val="TableRowCentered"/>
              <w:jc w:val="left"/>
              <w:rPr>
                <w:sz w:val="22"/>
              </w:rPr>
            </w:pPr>
          </w:p>
          <w:p w14:paraId="3BDCECCD" w14:textId="0CD31787" w:rsidR="00941D3C" w:rsidRDefault="004C25EB">
            <w:pPr>
              <w:pStyle w:val="TableRowCentered"/>
              <w:jc w:val="left"/>
              <w:rPr>
                <w:sz w:val="22"/>
              </w:rPr>
            </w:pPr>
            <w:hyperlink r:id="rId21" w:history="1">
              <w:r w:rsidR="00941D3C" w:rsidRPr="00941D3C">
                <w:rPr>
                  <w:rStyle w:val="Hyperlink"/>
                  <w:sz w:val="22"/>
                </w:rPr>
                <w:t>https://educationendowmentfoundation.org.uk/guidance-for-teachers/assessment-feedback</w:t>
              </w:r>
            </w:hyperlink>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4938" w14:textId="3B849B30" w:rsidR="00A508EA" w:rsidRDefault="00BE1578">
            <w:pPr>
              <w:pStyle w:val="TableRowCentered"/>
              <w:jc w:val="left"/>
              <w:rPr>
                <w:sz w:val="22"/>
              </w:rPr>
            </w:pPr>
            <w:r>
              <w:rPr>
                <w:sz w:val="22"/>
              </w:rPr>
              <w:t>1, 5</w:t>
            </w:r>
          </w:p>
        </w:tc>
      </w:tr>
      <w:tr w:rsidR="00942B90" w14:paraId="0CA1FD6B" w14:textId="77777777" w:rsidTr="00D34890">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16C12" w14:textId="626656DB" w:rsidR="00942B90" w:rsidRDefault="00942B90" w:rsidP="00942B90">
            <w:pPr>
              <w:pStyle w:val="TableRow"/>
              <w:rPr>
                <w:sz w:val="22"/>
              </w:rPr>
            </w:pPr>
            <w:r>
              <w:rPr>
                <w:sz w:val="22"/>
              </w:rPr>
              <w:t>Embedding dialogic activities across the curriculum</w:t>
            </w:r>
            <w:r w:rsidR="00BE1578">
              <w:rPr>
                <w:sz w:val="22"/>
              </w:rPr>
              <w:t xml:space="preserve"> e.</w:t>
            </w:r>
            <w:r>
              <w:rPr>
                <w:sz w:val="22"/>
              </w:rPr>
              <w:t>g</w:t>
            </w:r>
            <w:r w:rsidR="00BE1578">
              <w:rPr>
                <w:sz w:val="22"/>
              </w:rPr>
              <w:t>.</w:t>
            </w:r>
            <w:r>
              <w:rPr>
                <w:sz w:val="22"/>
              </w:rPr>
              <w:t xml:space="preserve"> Talk for Writing in EYFS.  These will support pupils to articulate key ideas and to consolidate understanding and extend vocabulary</w:t>
            </w:r>
          </w:p>
          <w:p w14:paraId="51DA9042" w14:textId="7C08AD58" w:rsidR="00942B90" w:rsidRDefault="00942B90" w:rsidP="00942B90">
            <w:pPr>
              <w:pStyle w:val="TableRow"/>
              <w:rPr>
                <w:sz w:val="22"/>
              </w:rPr>
            </w:pPr>
            <w:r>
              <w:rPr>
                <w:sz w:val="22"/>
              </w:rPr>
              <w:t>We have funded teacher and support staff training in delivering the Language Link programme</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8767" w14:textId="321CC7FC" w:rsidR="00942B90" w:rsidRDefault="00942B90">
            <w:pPr>
              <w:pStyle w:val="TableRowCentered"/>
              <w:jc w:val="left"/>
              <w:rPr>
                <w:sz w:val="22"/>
              </w:rPr>
            </w:pPr>
            <w:r>
              <w:rPr>
                <w:sz w:val="22"/>
              </w:rPr>
              <w:t>There is strong evidence that suggests oral language interventions including dialogic activities, such as high quality discussion, are inexpensive to implement with high impacts on reading.</w:t>
            </w:r>
          </w:p>
          <w:p w14:paraId="1530E3D1" w14:textId="0852D22E" w:rsidR="00904497" w:rsidRDefault="00904497">
            <w:pPr>
              <w:pStyle w:val="TableRowCentered"/>
              <w:jc w:val="left"/>
              <w:rPr>
                <w:sz w:val="22"/>
              </w:rPr>
            </w:pPr>
          </w:p>
          <w:p w14:paraId="6C55E9FA" w14:textId="51917D0D" w:rsidR="00904497" w:rsidRDefault="00904497">
            <w:pPr>
              <w:pStyle w:val="TableRowCentered"/>
              <w:jc w:val="left"/>
              <w:rPr>
                <w:sz w:val="22"/>
              </w:rPr>
            </w:pPr>
            <w:r>
              <w:rPr>
                <w:sz w:val="22"/>
              </w:rPr>
              <w:t>O</w:t>
            </w:r>
            <w:r w:rsidRPr="00904497">
              <w:rPr>
                <w:sz w:val="22"/>
              </w:rPr>
              <w:t>n average, oral language approaches have a high impact on pupil outcomes of 6 months’ additional progress.</w:t>
            </w:r>
          </w:p>
          <w:p w14:paraId="35FEB07C" w14:textId="24E79F85" w:rsidR="00904497" w:rsidRDefault="00904497">
            <w:pPr>
              <w:pStyle w:val="TableRowCentered"/>
              <w:jc w:val="left"/>
              <w:rPr>
                <w:color w:val="3333FF"/>
                <w:sz w:val="22"/>
                <w:u w:val="single"/>
              </w:rPr>
            </w:pPr>
          </w:p>
          <w:p w14:paraId="48DD171B" w14:textId="343AEFB2" w:rsidR="00904497" w:rsidRPr="00F76578" w:rsidRDefault="00904497">
            <w:pPr>
              <w:pStyle w:val="TableRowCentered"/>
              <w:jc w:val="left"/>
              <w:rPr>
                <w:color w:val="3333FF"/>
                <w:sz w:val="22"/>
                <w:u w:val="single"/>
              </w:rPr>
            </w:pPr>
            <w:r w:rsidRPr="00904497">
              <w:rPr>
                <w:color w:val="3333FF"/>
                <w:sz w:val="22"/>
                <w:u w:val="single"/>
              </w:rPr>
              <w:t>https://educationendowmentfoundation.org.uk/education-evidence/teaching-learning-toolkit/oral-language-interventions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4C8F" w14:textId="710865ED" w:rsidR="00942B90" w:rsidRDefault="00BE1578">
            <w:pPr>
              <w:pStyle w:val="TableRowCentered"/>
              <w:jc w:val="left"/>
              <w:rPr>
                <w:sz w:val="22"/>
              </w:rPr>
            </w:pPr>
            <w:r>
              <w:rPr>
                <w:sz w:val="22"/>
              </w:rPr>
              <w:t>2, 3</w:t>
            </w:r>
          </w:p>
        </w:tc>
      </w:tr>
      <w:tr w:rsidR="00942B90" w14:paraId="2C45DA08" w14:textId="77777777" w:rsidTr="00D34890">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1EE21" w14:textId="7FAF4C96" w:rsidR="00942B90" w:rsidRDefault="005D3F41" w:rsidP="00942B90">
            <w:pPr>
              <w:pStyle w:val="TableRow"/>
              <w:rPr>
                <w:sz w:val="22"/>
              </w:rPr>
            </w:pPr>
            <w:r>
              <w:rPr>
                <w:sz w:val="22"/>
              </w:rPr>
              <w:t xml:space="preserve">Offering a series of parent workshops in reading and phonics to support families with helping their children at home. </w:t>
            </w:r>
          </w:p>
        </w:tc>
        <w:tc>
          <w:tcPr>
            <w:tcW w:w="4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BE8E7" w14:textId="77777777" w:rsidR="00965DA8" w:rsidRDefault="0026327F" w:rsidP="0026327F">
            <w:pPr>
              <w:pStyle w:val="TableRowCentered"/>
              <w:jc w:val="left"/>
              <w:rPr>
                <w:sz w:val="22"/>
              </w:rPr>
            </w:pPr>
            <w:r>
              <w:rPr>
                <w:sz w:val="22"/>
              </w:rPr>
              <w:t>There is evidence to show that p</w:t>
            </w:r>
            <w:r w:rsidRPr="0026327F">
              <w:rPr>
                <w:sz w:val="22"/>
              </w:rPr>
              <w:t xml:space="preserve">arental engagement has a positive impact on average of 4 months’ additional progress. </w:t>
            </w:r>
          </w:p>
          <w:p w14:paraId="387C0881" w14:textId="77777777" w:rsidR="0026327F" w:rsidRDefault="0026327F" w:rsidP="0026327F">
            <w:pPr>
              <w:pStyle w:val="TableRowCentered"/>
              <w:jc w:val="left"/>
              <w:rPr>
                <w:sz w:val="22"/>
              </w:rPr>
            </w:pPr>
          </w:p>
          <w:p w14:paraId="57BDC187" w14:textId="083E12F3" w:rsidR="0026327F" w:rsidRDefault="004C25EB" w:rsidP="0026327F">
            <w:pPr>
              <w:pStyle w:val="TableRowCentered"/>
              <w:jc w:val="left"/>
              <w:rPr>
                <w:sz w:val="22"/>
              </w:rPr>
            </w:pPr>
            <w:hyperlink r:id="rId22" w:history="1">
              <w:r w:rsidR="0026327F" w:rsidRPr="004868F5">
                <w:rPr>
                  <w:rStyle w:val="Hyperlink"/>
                  <w:sz w:val="22"/>
                </w:rPr>
                <w:t>https://educationendowmentfoundation.org.uk/education-evidence/teaching-learning-toolkit/parental-engagement</w:t>
              </w:r>
            </w:hyperlink>
          </w:p>
          <w:p w14:paraId="3C692282" w14:textId="57970593" w:rsidR="0026327F" w:rsidRDefault="0026327F" w:rsidP="0026327F">
            <w:pPr>
              <w:pStyle w:val="TableRowCentered"/>
              <w:jc w:val="left"/>
              <w:rPr>
                <w:sz w:val="22"/>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DA9BF" w14:textId="77777777" w:rsidR="00942B90" w:rsidRDefault="00942B90">
            <w:pPr>
              <w:pStyle w:val="TableRowCentered"/>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76CEA1D3" w14:textId="35612645" w:rsidR="002D0682" w:rsidRDefault="009D71E8">
      <w:pPr>
        <w:rPr>
          <w:i/>
          <w:iCs/>
        </w:rPr>
      </w:pPr>
      <w:r>
        <w:t xml:space="preserve">Budgeted cost: </w:t>
      </w:r>
    </w:p>
    <w:p w14:paraId="3870DF3F" w14:textId="13C55E27" w:rsidR="002D0682" w:rsidRDefault="002D0682">
      <w:pPr>
        <w:rPr>
          <w:i/>
          <w:iCs/>
        </w:rPr>
      </w:pPr>
      <w:r>
        <w:rPr>
          <w:i/>
          <w:iCs/>
        </w:rPr>
        <w:t>-Cost of catch up tutors</w:t>
      </w:r>
      <w:r w:rsidR="00457EE8">
        <w:rPr>
          <w:i/>
          <w:iCs/>
        </w:rPr>
        <w:t xml:space="preserve">: </w:t>
      </w:r>
      <w:r w:rsidR="00457EE8">
        <w:t>£20,548.00</w:t>
      </w:r>
    </w:p>
    <w:p w14:paraId="6BFBE331" w14:textId="7734D954" w:rsidR="002D0682" w:rsidRDefault="002D0682">
      <w:pPr>
        <w:rPr>
          <w:i/>
          <w:iCs/>
        </w:rPr>
      </w:pPr>
      <w:r>
        <w:rPr>
          <w:i/>
          <w:iCs/>
        </w:rPr>
        <w:t>-Lightning squa</w:t>
      </w:r>
      <w:r w:rsidR="0031417D">
        <w:rPr>
          <w:i/>
          <w:iCs/>
        </w:rPr>
        <w:t>d + licence and Third S</w:t>
      </w:r>
      <w:r>
        <w:rPr>
          <w:i/>
          <w:iCs/>
        </w:rPr>
        <w:t>pace</w:t>
      </w:r>
      <w:r w:rsidR="00457EE8">
        <w:rPr>
          <w:i/>
          <w:iCs/>
        </w:rPr>
        <w:t xml:space="preserve">:  </w:t>
      </w:r>
      <w:r w:rsidR="00457EE8">
        <w:rPr>
          <w:i/>
          <w:iCs/>
        </w:rPr>
        <w:t>£10,350.00</w:t>
      </w:r>
    </w:p>
    <w:p w14:paraId="2B592B5A" w14:textId="65057A9C" w:rsidR="002D0682" w:rsidRDefault="002D0682">
      <w:pPr>
        <w:rPr>
          <w:i/>
          <w:iCs/>
        </w:rPr>
      </w:pPr>
      <w:r>
        <w:rPr>
          <w:i/>
          <w:iCs/>
        </w:rPr>
        <w:t>-</w:t>
      </w:r>
      <w:proofErr w:type="spellStart"/>
      <w:r>
        <w:rPr>
          <w:i/>
          <w:iCs/>
        </w:rPr>
        <w:t>RWInc</w:t>
      </w:r>
      <w:proofErr w:type="spellEnd"/>
      <w:r>
        <w:rPr>
          <w:i/>
          <w:iCs/>
        </w:rPr>
        <w:t xml:space="preserve"> costs</w:t>
      </w:r>
      <w:r w:rsidR="00457EE8">
        <w:rPr>
          <w:i/>
          <w:iCs/>
        </w:rPr>
        <w:t xml:space="preserve">: </w:t>
      </w:r>
      <w:bookmarkStart w:id="18" w:name="_GoBack"/>
      <w:bookmarkEnd w:id="18"/>
      <w:r w:rsidR="00457EE8">
        <w:rPr>
          <w:i/>
          <w:iCs/>
        </w:rPr>
        <w:t>£7,051.00</w:t>
      </w:r>
    </w:p>
    <w:p w14:paraId="273C8CE8" w14:textId="05D2CB87" w:rsidR="002D0682" w:rsidRDefault="002D0682">
      <w:pPr>
        <w:rPr>
          <w:i/>
          <w:iCs/>
        </w:rPr>
      </w:pPr>
      <w:r>
        <w:rPr>
          <w:i/>
          <w:iCs/>
        </w:rPr>
        <w:lastRenderedPageBreak/>
        <w:t xml:space="preserve">-2 </w:t>
      </w:r>
      <w:proofErr w:type="gramStart"/>
      <w:r>
        <w:rPr>
          <w:i/>
          <w:iCs/>
        </w:rPr>
        <w:t>weeks</w:t>
      </w:r>
      <w:proofErr w:type="gramEnd"/>
      <w:r>
        <w:rPr>
          <w:i/>
          <w:iCs/>
        </w:rPr>
        <w:t xml:space="preserve"> release time for Chrissy</w:t>
      </w:r>
    </w:p>
    <w:p w14:paraId="02D6BC5C" w14:textId="5586D6C3" w:rsidR="002D0682" w:rsidRDefault="002D0682">
      <w:pPr>
        <w:rPr>
          <w:i/>
          <w:iCs/>
        </w:rPr>
      </w:pPr>
      <w:r>
        <w:rPr>
          <w:i/>
          <w:iCs/>
        </w:rPr>
        <w:t xml:space="preserve">-ELSA supervision costs </w:t>
      </w:r>
      <w:proofErr w:type="gramStart"/>
      <w:r>
        <w:rPr>
          <w:i/>
          <w:iCs/>
        </w:rPr>
        <w:t xml:space="preserve">and </w:t>
      </w:r>
      <w:r w:rsidR="0031417D">
        <w:rPr>
          <w:i/>
          <w:iCs/>
        </w:rPr>
        <w:t>?how</w:t>
      </w:r>
      <w:proofErr w:type="gramEnd"/>
      <w:r w:rsidR="0031417D">
        <w:rPr>
          <w:i/>
          <w:iCs/>
        </w:rPr>
        <w:t xml:space="preserve"> much of Amanda’s timetable is ELSA work?</w:t>
      </w:r>
    </w:p>
    <w:p w14:paraId="30E9DF24" w14:textId="75E38C0F" w:rsidR="0031417D" w:rsidRDefault="0031417D">
      <w:pPr>
        <w:rPr>
          <w:i/>
          <w:iCs/>
        </w:rPr>
      </w:pPr>
      <w:r>
        <w:rPr>
          <w:i/>
          <w:iCs/>
        </w:rPr>
        <w:t>Language Link??</w:t>
      </w:r>
    </w:p>
    <w:p w14:paraId="35811462" w14:textId="3F27BE83" w:rsidR="0031417D" w:rsidRDefault="0031417D">
      <w:pPr>
        <w:rPr>
          <w:i/>
          <w:iCs/>
        </w:rPr>
      </w:pPr>
      <w:r>
        <w:rPr>
          <w:i/>
          <w:iCs/>
        </w:rPr>
        <w:t>PPA team release time for mentoring</w:t>
      </w:r>
    </w:p>
    <w:p w14:paraId="12A32877" w14:textId="77777777" w:rsidR="002D0682" w:rsidRDefault="002D0682">
      <w:pPr>
        <w:rPr>
          <w:i/>
          <w:iCs/>
        </w:rPr>
      </w:pPr>
    </w:p>
    <w:p w14:paraId="2101AD89" w14:textId="77777777" w:rsidR="002D0682" w:rsidRDefault="002D0682">
      <w:pPr>
        <w:rPr>
          <w:i/>
          <w:iCs/>
        </w:rPr>
      </w:pPr>
    </w:p>
    <w:p w14:paraId="787B47B8" w14:textId="77777777" w:rsidR="002D0682" w:rsidRPr="002D0682" w:rsidRDefault="002D0682">
      <w:pPr>
        <w:rPr>
          <w:i/>
          <w:iCs/>
        </w:rPr>
      </w:pPr>
    </w:p>
    <w:tbl>
      <w:tblPr>
        <w:tblW w:w="5000" w:type="pct"/>
        <w:tblCellMar>
          <w:left w:w="10" w:type="dxa"/>
          <w:right w:w="10" w:type="dxa"/>
        </w:tblCellMar>
        <w:tblLook w:val="04A0" w:firstRow="1" w:lastRow="0" w:firstColumn="1" w:lastColumn="0" w:noHBand="0" w:noVBand="1"/>
      </w:tblPr>
      <w:tblGrid>
        <w:gridCol w:w="1943"/>
        <w:gridCol w:w="5871"/>
        <w:gridCol w:w="1672"/>
      </w:tblGrid>
      <w:tr w:rsidR="003E2BE7"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3E2BE7"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D47419A" w:rsidR="00E66558" w:rsidRPr="00A508EA" w:rsidRDefault="00A508EA">
            <w:pPr>
              <w:pStyle w:val="TableRow"/>
            </w:pPr>
            <w:r>
              <w:rPr>
                <w:iCs/>
                <w:sz w:val="22"/>
                <w:szCs w:val="22"/>
              </w:rPr>
              <w:t xml:space="preserve">Employing </w:t>
            </w:r>
            <w:proofErr w:type="spellStart"/>
            <w:r>
              <w:rPr>
                <w:iCs/>
                <w:sz w:val="22"/>
                <w:szCs w:val="22"/>
              </w:rPr>
              <w:t>Covid</w:t>
            </w:r>
            <w:proofErr w:type="spellEnd"/>
            <w:r>
              <w:rPr>
                <w:iCs/>
                <w:sz w:val="22"/>
                <w:szCs w:val="22"/>
              </w:rPr>
              <w:t xml:space="preserve"> catch-up tutors </w:t>
            </w:r>
            <w:r w:rsidR="00642310">
              <w:rPr>
                <w:iCs/>
                <w:sz w:val="22"/>
                <w:szCs w:val="22"/>
              </w:rPr>
              <w:t>to support pupils with closing gaps in knowledge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57D8" w14:textId="188EE234" w:rsidR="00E66558" w:rsidRDefault="005D3F41" w:rsidP="005D3F41">
            <w:pPr>
              <w:pStyle w:val="TableRowCentered"/>
              <w:jc w:val="left"/>
              <w:rPr>
                <w:rFonts w:cs="Arial"/>
                <w:color w:val="263238"/>
                <w:sz w:val="22"/>
                <w:szCs w:val="22"/>
                <w:shd w:val="clear" w:color="auto" w:fill="FFFFFF"/>
              </w:rPr>
            </w:pPr>
            <w:r w:rsidRPr="005D3F41">
              <w:rPr>
                <w:sz w:val="22"/>
              </w:rPr>
              <w:t>Evidence shows that small group tuition is effective</w:t>
            </w:r>
            <w:r>
              <w:rPr>
                <w:sz w:val="22"/>
              </w:rPr>
              <w:t>.</w:t>
            </w:r>
            <w:r>
              <w:rPr>
                <w:rFonts w:ascii="Helvetica" w:hAnsi="Helvetica" w:cs="Helvetica"/>
                <w:color w:val="263238"/>
                <w:sz w:val="30"/>
                <w:szCs w:val="30"/>
                <w:shd w:val="clear" w:color="auto" w:fill="FFFFFF"/>
              </w:rPr>
              <w:t xml:space="preserve"> </w:t>
            </w:r>
            <w:r w:rsidRPr="005D3F41">
              <w:rPr>
                <w:rFonts w:cs="Arial"/>
                <w:color w:val="263238"/>
                <w:sz w:val="22"/>
                <w:szCs w:val="22"/>
                <w:shd w:val="clear" w:color="auto" w:fill="FFFFFF"/>
              </w:rPr>
              <w:t>Small group tuition has an average impact of four months’ additional progress over the course of a year.</w:t>
            </w:r>
            <w:r w:rsidR="009812EE">
              <w:rPr>
                <w:rFonts w:cs="Arial"/>
                <w:color w:val="263238"/>
                <w:sz w:val="22"/>
                <w:szCs w:val="22"/>
                <w:shd w:val="clear" w:color="auto" w:fill="FFFFFF"/>
              </w:rPr>
              <w:t xml:space="preserve"> </w:t>
            </w:r>
            <w:r w:rsidR="009812EE" w:rsidRPr="009812EE">
              <w:rPr>
                <w:rFonts w:cs="Arial"/>
                <w:color w:val="263238"/>
                <w:sz w:val="22"/>
                <w:szCs w:val="22"/>
                <w:shd w:val="clear" w:color="auto" w:fill="FFFFFF"/>
              </w:rPr>
              <w:t>is most likely to be effective if it is targeted at pupils’ specific needs.</w:t>
            </w:r>
          </w:p>
          <w:p w14:paraId="3A14C8E2" w14:textId="77777777" w:rsidR="009812EE" w:rsidRDefault="009812EE" w:rsidP="005D3F41">
            <w:pPr>
              <w:pStyle w:val="TableRowCentered"/>
              <w:jc w:val="left"/>
              <w:rPr>
                <w:rFonts w:cs="Arial"/>
                <w:color w:val="263238"/>
                <w:sz w:val="22"/>
                <w:szCs w:val="22"/>
                <w:shd w:val="clear" w:color="auto" w:fill="FFFFFF"/>
              </w:rPr>
            </w:pPr>
          </w:p>
          <w:p w14:paraId="2A7D552A" w14:textId="753658FF" w:rsidR="009812EE" w:rsidRDefault="004C25EB" w:rsidP="005D3F41">
            <w:pPr>
              <w:pStyle w:val="TableRowCentered"/>
              <w:jc w:val="left"/>
              <w:rPr>
                <w:sz w:val="22"/>
              </w:rPr>
            </w:pPr>
            <w:hyperlink r:id="rId23" w:history="1">
              <w:r w:rsidR="009812EE" w:rsidRPr="009812EE">
                <w:rPr>
                  <w:rStyle w:val="Hyperlink"/>
                  <w:sz w:val="22"/>
                </w:rPr>
                <w:t>https://educationendowmentfoundation.org.uk/education-evidence/teaching-learning-toolkit/small-group-tuition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0792517" w:rsidR="00E66558" w:rsidRDefault="00BE1578">
            <w:pPr>
              <w:pStyle w:val="TableRowCentered"/>
              <w:jc w:val="left"/>
              <w:rPr>
                <w:sz w:val="22"/>
              </w:rPr>
            </w:pPr>
            <w:r>
              <w:rPr>
                <w:sz w:val="22"/>
              </w:rPr>
              <w:t>1,2</w:t>
            </w:r>
          </w:p>
        </w:tc>
      </w:tr>
      <w:tr w:rsidR="003E2BE7" w14:paraId="61273DC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96654" w14:textId="6A0BC3A1" w:rsidR="00A508EA" w:rsidRDefault="003E2BE7" w:rsidP="003E2BE7">
            <w:pPr>
              <w:pStyle w:val="TableRow"/>
              <w:rPr>
                <w:sz w:val="22"/>
              </w:rPr>
            </w:pPr>
            <w:r>
              <w:rPr>
                <w:sz w:val="22"/>
              </w:rPr>
              <w:t xml:space="preserve">Engaging with the National Tutoring Programme to provide a blend of tuition, mentoring and school led learning for pupils whose education has been most impacted by the </w:t>
            </w:r>
            <w:proofErr w:type="gramStart"/>
            <w:r>
              <w:rPr>
                <w:sz w:val="22"/>
              </w:rPr>
              <w:t>pandemic .</w:t>
            </w:r>
            <w:proofErr w:type="gramEnd"/>
            <w:r>
              <w:rPr>
                <w:sz w:val="22"/>
              </w:rPr>
              <w:t xml:space="preserve"> A significant proportion of the pupils who receive tutoring are disadvantaged, including those who are higher attainers.  Programmes run: Third S</w:t>
            </w:r>
            <w:r w:rsidR="00A508EA">
              <w:rPr>
                <w:sz w:val="22"/>
              </w:rPr>
              <w:t xml:space="preserve">pace Learning tuition programme </w:t>
            </w:r>
            <w:r>
              <w:rPr>
                <w:sz w:val="22"/>
              </w:rPr>
              <w:t xml:space="preserve">for </w:t>
            </w:r>
            <w:r>
              <w:rPr>
                <w:sz w:val="22"/>
              </w:rPr>
              <w:lastRenderedPageBreak/>
              <w:t xml:space="preserve">1:1 tailored tutoring sessions and The Lightning Squad providing 6 </w:t>
            </w:r>
            <w:proofErr w:type="gramStart"/>
            <w:r>
              <w:rPr>
                <w:sz w:val="22"/>
              </w:rPr>
              <w:t>week</w:t>
            </w:r>
            <w:proofErr w:type="gramEnd"/>
            <w:r>
              <w:rPr>
                <w:sz w:val="22"/>
              </w:rPr>
              <w:t xml:space="preserve"> daily reading catch up sessions.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C08C0" w14:textId="77777777" w:rsidR="0026327F" w:rsidRDefault="005D3F41" w:rsidP="0026327F">
            <w:pPr>
              <w:pStyle w:val="TableRowCentered"/>
              <w:jc w:val="left"/>
              <w:rPr>
                <w:sz w:val="22"/>
              </w:rPr>
            </w:pPr>
            <w:r w:rsidRPr="005D3F41">
              <w:rPr>
                <w:sz w:val="22"/>
              </w:rPr>
              <w:lastRenderedPageBreak/>
              <w:t>The NTP can only be accessed by schools for their pupils. The evidence shows this is the best way to make sure tutoring is effective, targeted and linked to what pupils are learning in school, as schools are best placed to decide which pupils will benefit the most.</w:t>
            </w:r>
          </w:p>
          <w:p w14:paraId="285FA74E" w14:textId="645FACFB" w:rsidR="0026327F" w:rsidRPr="0026327F" w:rsidRDefault="0026327F" w:rsidP="0026327F">
            <w:pPr>
              <w:pStyle w:val="TableRowCentered"/>
              <w:jc w:val="left"/>
              <w:rPr>
                <w:sz w:val="22"/>
              </w:rPr>
            </w:pPr>
            <w:r w:rsidRPr="0026327F">
              <w:rPr>
                <w:sz w:val="22"/>
              </w:rPr>
              <w:t>Small group tuition has an average impact of four months’ additional progress over the course of a year.</w:t>
            </w:r>
          </w:p>
          <w:p w14:paraId="334E3173" w14:textId="01618A75" w:rsidR="0026327F" w:rsidRDefault="0026327F" w:rsidP="0026327F">
            <w:pPr>
              <w:pStyle w:val="TableRowCentered"/>
              <w:jc w:val="left"/>
              <w:rPr>
                <w:sz w:val="22"/>
              </w:rPr>
            </w:pPr>
            <w:r w:rsidRPr="0026327F">
              <w:rPr>
                <w:sz w:val="22"/>
              </w:rPr>
              <w:t>Small group tuition is most likely to be effective if it is targeted at pupils’ specific needs. Diagnostic assessment can be used to assess the best way to target support.</w:t>
            </w:r>
          </w:p>
          <w:p w14:paraId="16096DDE" w14:textId="7A28496F" w:rsidR="00E51CD8" w:rsidRDefault="00E51CD8" w:rsidP="0026327F">
            <w:pPr>
              <w:pStyle w:val="TableRowCentered"/>
              <w:jc w:val="left"/>
              <w:rPr>
                <w:sz w:val="22"/>
              </w:rPr>
            </w:pPr>
          </w:p>
          <w:p w14:paraId="76960D99" w14:textId="666526A4" w:rsidR="00E51CD8" w:rsidRDefault="00E51CD8" w:rsidP="0026327F">
            <w:pPr>
              <w:pStyle w:val="TableRowCentered"/>
              <w:jc w:val="left"/>
              <w:rPr>
                <w:sz w:val="22"/>
              </w:rPr>
            </w:pPr>
            <w:r w:rsidRPr="00E51CD8">
              <w:rPr>
                <w:sz w:val="22"/>
              </w:rPr>
              <w:t>On average, one to one tuition is very effective at improving pupil outcomes. One to one tuition might be an effective strategy for providing targeted support for pupils that are identified as having low prior attainment or are struggling in particular areas.</w:t>
            </w:r>
          </w:p>
          <w:p w14:paraId="00B1FA89" w14:textId="151206BD" w:rsidR="0026327F" w:rsidRDefault="0026327F" w:rsidP="005D3F41">
            <w:pPr>
              <w:pStyle w:val="TableRowCentered"/>
              <w:jc w:val="left"/>
              <w:rPr>
                <w:sz w:val="22"/>
              </w:rPr>
            </w:pPr>
          </w:p>
          <w:p w14:paraId="22CB40B7" w14:textId="77777777" w:rsidR="00A508EA" w:rsidRDefault="004C25EB">
            <w:pPr>
              <w:pStyle w:val="TableRowCentered"/>
              <w:jc w:val="left"/>
              <w:rPr>
                <w:rStyle w:val="Hyperlink"/>
                <w:sz w:val="22"/>
              </w:rPr>
            </w:pPr>
            <w:hyperlink r:id="rId24" w:history="1">
              <w:r w:rsidR="005D3F41" w:rsidRPr="005D3F41">
                <w:rPr>
                  <w:rStyle w:val="Hyperlink"/>
                  <w:sz w:val="22"/>
                </w:rPr>
                <w:t>https://educationhub.blog.gov.uk/2022/01/11/how-the-national-tutoring-programme-is-helping-young-people-catch-up-on-education-they-missed-because-of-covid-19/</w:t>
              </w:r>
            </w:hyperlink>
          </w:p>
          <w:p w14:paraId="61BF1C70" w14:textId="77777777" w:rsidR="0026327F" w:rsidRDefault="0026327F">
            <w:pPr>
              <w:pStyle w:val="TableRowCentered"/>
              <w:jc w:val="left"/>
              <w:rPr>
                <w:rStyle w:val="Hyperlink"/>
                <w:sz w:val="22"/>
              </w:rPr>
            </w:pPr>
          </w:p>
          <w:p w14:paraId="78FF9E9D" w14:textId="049B7DCB" w:rsidR="0026327F" w:rsidRDefault="004C25EB">
            <w:pPr>
              <w:pStyle w:val="TableRowCentered"/>
              <w:jc w:val="left"/>
              <w:rPr>
                <w:sz w:val="22"/>
              </w:rPr>
            </w:pPr>
            <w:hyperlink r:id="rId25" w:history="1">
              <w:r w:rsidR="0026327F" w:rsidRPr="004868F5">
                <w:rPr>
                  <w:rStyle w:val="Hyperlink"/>
                  <w:sz w:val="22"/>
                </w:rPr>
                <w:t>https://educationendowmentfoundation.org.uk/education-evidence/teaching-learning-toolkit/small-group-tuition</w:t>
              </w:r>
            </w:hyperlink>
          </w:p>
          <w:p w14:paraId="0293B7D9" w14:textId="77777777" w:rsidR="0026327F" w:rsidRDefault="0026327F">
            <w:pPr>
              <w:pStyle w:val="TableRowCentered"/>
              <w:jc w:val="left"/>
              <w:rPr>
                <w:sz w:val="22"/>
              </w:rPr>
            </w:pPr>
          </w:p>
          <w:p w14:paraId="489FB040" w14:textId="0F87127D" w:rsidR="00E51CD8" w:rsidRDefault="004C25EB">
            <w:pPr>
              <w:pStyle w:val="TableRowCentered"/>
              <w:jc w:val="left"/>
              <w:rPr>
                <w:sz w:val="22"/>
              </w:rPr>
            </w:pPr>
            <w:hyperlink r:id="rId26" w:history="1">
              <w:r w:rsidR="00E51CD8" w:rsidRPr="004868F5">
                <w:rPr>
                  <w:rStyle w:val="Hyperlink"/>
                  <w:sz w:val="22"/>
                </w:rPr>
                <w:t>https://educationendowmentfoundation.org.uk/education-evidence/teaching-learning-toolkit/one-to-one-tuition</w:t>
              </w:r>
            </w:hyperlink>
          </w:p>
          <w:p w14:paraId="2E85EB02" w14:textId="692E39AC" w:rsidR="00904497" w:rsidRDefault="00904497">
            <w:pPr>
              <w:pStyle w:val="TableRowCentered"/>
              <w:jc w:val="left"/>
              <w:rPr>
                <w:sz w:val="22"/>
              </w:rPr>
            </w:pPr>
          </w:p>
          <w:p w14:paraId="18A9CBCD" w14:textId="77777777" w:rsidR="00904497" w:rsidRDefault="00904497">
            <w:pPr>
              <w:pStyle w:val="TableRowCentered"/>
              <w:jc w:val="left"/>
              <w:rPr>
                <w:sz w:val="22"/>
              </w:rPr>
            </w:pPr>
          </w:p>
          <w:p w14:paraId="30B7A026" w14:textId="2186BA24" w:rsidR="00E51CD8" w:rsidRDefault="00E51CD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A08F" w14:textId="6ADF25B5" w:rsidR="00A508EA" w:rsidRDefault="00BE1578">
            <w:pPr>
              <w:pStyle w:val="TableRowCentered"/>
              <w:jc w:val="left"/>
              <w:rPr>
                <w:sz w:val="22"/>
              </w:rPr>
            </w:pPr>
            <w:r>
              <w:rPr>
                <w:sz w:val="22"/>
              </w:rPr>
              <w:lastRenderedPageBreak/>
              <w:t>3</w:t>
            </w:r>
          </w:p>
        </w:tc>
      </w:tr>
      <w:tr w:rsidR="003E018E" w14:paraId="7CF4535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7555" w14:textId="4AEFFFB8" w:rsidR="003E018E" w:rsidRDefault="003E018E" w:rsidP="003E2BE7">
            <w:pPr>
              <w:pStyle w:val="TableRow"/>
              <w:rPr>
                <w:sz w:val="22"/>
              </w:rPr>
            </w:pPr>
            <w:r>
              <w:rPr>
                <w:sz w:val="22"/>
              </w:rPr>
              <w:lastRenderedPageBreak/>
              <w:t>Providing whole school phonics training, including a series of development days throughout the year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990B4" w14:textId="77777777" w:rsidR="003E018E" w:rsidRDefault="003E018E" w:rsidP="0026327F">
            <w:pPr>
              <w:pStyle w:val="TableRowCentered"/>
              <w:jc w:val="left"/>
              <w:rPr>
                <w:sz w:val="22"/>
              </w:rPr>
            </w:pPr>
            <w:r w:rsidRPr="003E018E">
              <w:rPr>
                <w:sz w:val="22"/>
              </w:rPr>
              <w:t>Phonics has a positive impact overall (+5 months) with very extensive evidence and is an important component in the development of early reading skills, particularly for children from disadvantaged backgrounds.</w:t>
            </w:r>
          </w:p>
          <w:p w14:paraId="13D2E75C" w14:textId="77777777" w:rsidR="003E018E" w:rsidRDefault="003E018E" w:rsidP="0026327F">
            <w:pPr>
              <w:pStyle w:val="TableRowCentered"/>
              <w:jc w:val="left"/>
              <w:rPr>
                <w:sz w:val="22"/>
              </w:rPr>
            </w:pPr>
          </w:p>
          <w:p w14:paraId="6A26E49C" w14:textId="479B8FFC" w:rsidR="003E018E" w:rsidRDefault="004C25EB" w:rsidP="0026327F">
            <w:pPr>
              <w:pStyle w:val="TableRowCentered"/>
              <w:jc w:val="left"/>
              <w:rPr>
                <w:sz w:val="22"/>
              </w:rPr>
            </w:pPr>
            <w:hyperlink r:id="rId27" w:history="1">
              <w:r w:rsidR="003E018E" w:rsidRPr="004868F5">
                <w:rPr>
                  <w:rStyle w:val="Hyperlink"/>
                  <w:sz w:val="22"/>
                </w:rPr>
                <w:t>https://educationendowmentfoundation.org.uk/education-evidence/teaching-learning-toolkit/phonics</w:t>
              </w:r>
            </w:hyperlink>
          </w:p>
          <w:p w14:paraId="2041394A" w14:textId="79B32F34" w:rsidR="003E018E" w:rsidRPr="005D3F41" w:rsidRDefault="003E018E" w:rsidP="0026327F">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F8595" w14:textId="77777777" w:rsidR="003E018E" w:rsidRDefault="003E018E">
            <w:pPr>
              <w:pStyle w:val="TableRowCentered"/>
              <w:jc w:val="left"/>
              <w:rPr>
                <w:sz w:val="22"/>
              </w:rPr>
            </w:pPr>
          </w:p>
        </w:tc>
      </w:tr>
      <w:tr w:rsidR="003E2BE7" w14:paraId="00AC6DB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35BE6" w14:textId="5F6C82A7" w:rsidR="00A508EA" w:rsidRDefault="00BE1578">
            <w:pPr>
              <w:pStyle w:val="TableRow"/>
              <w:rPr>
                <w:sz w:val="22"/>
              </w:rPr>
            </w:pPr>
            <w:r w:rsidRPr="00BE1578">
              <w:rPr>
                <w:sz w:val="22"/>
              </w:rPr>
              <w:t>Providing targeted training to support staff to deliver wellbeing interventions to support pupils with emotional wellbeing (ELSA</w:t>
            </w:r>
            <w:r w:rsidR="002D0682">
              <w:rPr>
                <w:sz w:val="22"/>
              </w:rPr>
              <w:t xml:space="preserve"> / MH senior practitioner</w:t>
            </w:r>
            <w:r w:rsidRPr="00BE1578">
              <w:rPr>
                <w:sz w:val="22"/>
              </w:rPr>
              <w:t>)</w:t>
            </w:r>
            <w:r w:rsidR="002D0682">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948A" w14:textId="77777777" w:rsidR="00A508EA" w:rsidRDefault="00BE1578">
            <w:pPr>
              <w:pStyle w:val="TableRowCentered"/>
              <w:jc w:val="left"/>
              <w:rPr>
                <w:sz w:val="22"/>
              </w:rPr>
            </w:pPr>
            <w:r w:rsidRPr="00BE1578">
              <w:rPr>
                <w:sz w:val="22"/>
              </w:rPr>
              <w:t>There is extensive evidence associating childhood social and emotional skills with improved outcomes at school and in later life.</w:t>
            </w:r>
          </w:p>
          <w:p w14:paraId="2789EC2A" w14:textId="77777777" w:rsidR="00FF6C57" w:rsidRDefault="00FF6C57">
            <w:pPr>
              <w:pStyle w:val="TableRowCentered"/>
              <w:jc w:val="left"/>
              <w:rPr>
                <w:sz w:val="22"/>
              </w:rPr>
            </w:pPr>
          </w:p>
          <w:p w14:paraId="3C0F5771" w14:textId="68B6E23E" w:rsidR="00FF6C57" w:rsidRDefault="004C25EB">
            <w:pPr>
              <w:pStyle w:val="TableRowCentered"/>
              <w:jc w:val="left"/>
              <w:rPr>
                <w:sz w:val="22"/>
              </w:rPr>
            </w:pPr>
            <w:hyperlink r:id="rId28" w:history="1">
              <w:r w:rsidR="00FF6C57" w:rsidRPr="006B4DF2">
                <w:rPr>
                  <w:rStyle w:val="Hyperlink"/>
                  <w:sz w:val="22"/>
                </w:rPr>
                <w:t>https://educationendowmentfoundation.org.uk/public/files</w:t>
              </w:r>
            </w:hyperlink>
          </w:p>
          <w:p w14:paraId="72D1F308" w14:textId="60C3A5F0" w:rsidR="00FF6C57" w:rsidRDefault="00FF6C57" w:rsidP="00FF6C57">
            <w:pPr>
              <w:pStyle w:val="TableRowCentered"/>
              <w:jc w:val="left"/>
              <w:rPr>
                <w:sz w:val="22"/>
              </w:rPr>
            </w:pPr>
          </w:p>
          <w:p w14:paraId="76096DBA" w14:textId="57848563" w:rsidR="00FF6C57" w:rsidRDefault="00FF6C57">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7D57" w14:textId="345F044A" w:rsidR="00A508EA" w:rsidRDefault="00BE1578">
            <w:pPr>
              <w:pStyle w:val="TableRowCentered"/>
              <w:jc w:val="left"/>
              <w:rPr>
                <w:sz w:val="22"/>
              </w:rPr>
            </w:pPr>
            <w:r>
              <w:rPr>
                <w:sz w:val="22"/>
              </w:rPr>
              <w:t>5</w:t>
            </w:r>
          </w:p>
        </w:tc>
      </w:tr>
      <w:tr w:rsidR="003E2BE7" w14:paraId="047A376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92AB3" w14:textId="4D52368B" w:rsidR="00BE1578" w:rsidRDefault="00BE1578" w:rsidP="00BE1578">
            <w:pPr>
              <w:pStyle w:val="TableRow"/>
              <w:rPr>
                <w:sz w:val="22"/>
              </w:rPr>
            </w:pPr>
            <w:r>
              <w:rPr>
                <w:sz w:val="22"/>
              </w:rPr>
              <w:t>We have enhanced our reading support by funding a reading intervention programme and training support staff in delivery.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FB2FC" w14:textId="7AEF5725" w:rsidR="00904497" w:rsidRPr="00904497" w:rsidRDefault="00904497" w:rsidP="00904497">
            <w:pPr>
              <w:rPr>
                <w:sz w:val="22"/>
                <w:szCs w:val="20"/>
              </w:rPr>
            </w:pPr>
            <w:r w:rsidRPr="00904497">
              <w:rPr>
                <w:sz w:val="22"/>
                <w:szCs w:val="20"/>
              </w:rPr>
              <w:t>Reading comprehension strategies are high impact on average (+6 months). Alongside phonics</w:t>
            </w:r>
            <w:r w:rsidR="002D0682">
              <w:rPr>
                <w:sz w:val="22"/>
                <w:szCs w:val="20"/>
              </w:rPr>
              <w:t>,</w:t>
            </w:r>
            <w:r w:rsidRPr="00904497">
              <w:rPr>
                <w:sz w:val="22"/>
                <w:szCs w:val="20"/>
              </w:rPr>
              <w:t xml:space="preserve"> it is a crucial component of early reading instruction.</w:t>
            </w:r>
          </w:p>
          <w:p w14:paraId="01277668" w14:textId="23A3BC70" w:rsidR="00BE1578" w:rsidRDefault="00642310" w:rsidP="00BE1578">
            <w:pPr>
              <w:pStyle w:val="TableRowCentered"/>
              <w:jc w:val="left"/>
              <w:rPr>
                <w:sz w:val="22"/>
              </w:rPr>
            </w:pPr>
            <w:r w:rsidRPr="00642310">
              <w:rPr>
                <w:sz w:val="22"/>
              </w:rPr>
              <w:t>Research has demonstrated that pupils make learning gains of between 3 and 5 months in reading attainment when using TWL. This was demonstrated in the last academic year when we delivered to 25,000 pupils as part of the National Tutoring Programme. There has also been independent research carried out in both the USA and the UK which supports this increase in learning gains for pupils accessing the Tutoring with the Lightning Squad programme.</w:t>
            </w:r>
          </w:p>
          <w:p w14:paraId="5B80CDDB" w14:textId="77777777" w:rsidR="00904497" w:rsidRDefault="00904497" w:rsidP="00BE1578">
            <w:pPr>
              <w:pStyle w:val="TableRowCentered"/>
              <w:jc w:val="left"/>
              <w:rPr>
                <w:sz w:val="22"/>
              </w:rPr>
            </w:pPr>
          </w:p>
          <w:p w14:paraId="7264BDD8" w14:textId="5742981E" w:rsidR="00642310" w:rsidRDefault="004C25EB" w:rsidP="00BE1578">
            <w:pPr>
              <w:pStyle w:val="TableRowCentered"/>
              <w:jc w:val="left"/>
              <w:rPr>
                <w:sz w:val="22"/>
              </w:rPr>
            </w:pPr>
            <w:hyperlink r:id="rId29" w:anchor=":~:text=%E2%96%B8What%" w:history="1">
              <w:r w:rsidR="00642310" w:rsidRPr="006B4DF2">
                <w:rPr>
                  <w:rStyle w:val="Hyperlink"/>
                  <w:sz w:val="22"/>
                </w:rPr>
                <w:t>https://fft.org.uk/tutoring/#:~:text=%E2%96%B8What%</w:t>
              </w:r>
            </w:hyperlink>
          </w:p>
          <w:p w14:paraId="6F1702B9" w14:textId="77777777" w:rsidR="00642310" w:rsidRDefault="00642310" w:rsidP="00BE1578">
            <w:pPr>
              <w:pStyle w:val="TableRowCentered"/>
              <w:jc w:val="left"/>
              <w:rPr>
                <w:color w:val="3333FF"/>
                <w:sz w:val="22"/>
                <w:u w:val="single"/>
              </w:rPr>
            </w:pPr>
            <w:r w:rsidRPr="00642310">
              <w:rPr>
                <w:color w:val="3333FF"/>
                <w:sz w:val="22"/>
                <w:u w:val="single"/>
              </w:rPr>
              <w:t>20evidence%20is%20</w:t>
            </w:r>
            <w:proofErr w:type="gramStart"/>
            <w:r w:rsidRPr="00642310">
              <w:rPr>
                <w:color w:val="3333FF"/>
                <w:sz w:val="22"/>
                <w:u w:val="single"/>
              </w:rPr>
              <w:t>there,reading</w:t>
            </w:r>
            <w:proofErr w:type="gramEnd"/>
            <w:r w:rsidRPr="00642310">
              <w:rPr>
                <w:color w:val="3333FF"/>
                <w:sz w:val="22"/>
                <w:u w:val="single"/>
              </w:rPr>
              <w:t>%20attainment%</w:t>
            </w:r>
          </w:p>
          <w:p w14:paraId="5151F441" w14:textId="0FBDC897" w:rsidR="00642310" w:rsidRDefault="00642310" w:rsidP="00BE1578">
            <w:pPr>
              <w:pStyle w:val="TableRowCentered"/>
              <w:jc w:val="left"/>
              <w:rPr>
                <w:color w:val="3333FF"/>
                <w:sz w:val="22"/>
                <w:u w:val="single"/>
              </w:rPr>
            </w:pPr>
            <w:r w:rsidRPr="00642310">
              <w:rPr>
                <w:color w:val="3333FF"/>
                <w:sz w:val="22"/>
                <w:u w:val="single"/>
              </w:rPr>
              <w:t>20when%20using%20TWL.</w:t>
            </w:r>
          </w:p>
          <w:p w14:paraId="7EC4FECD" w14:textId="45C4B0FB" w:rsidR="00904497" w:rsidRDefault="00904497" w:rsidP="00BE1578">
            <w:pPr>
              <w:pStyle w:val="TableRowCentered"/>
              <w:jc w:val="left"/>
              <w:rPr>
                <w:color w:val="3333FF"/>
                <w:sz w:val="22"/>
                <w:u w:val="single"/>
              </w:rPr>
            </w:pPr>
          </w:p>
          <w:p w14:paraId="0B58EBB8" w14:textId="77777777" w:rsidR="00904497" w:rsidRPr="00904497" w:rsidRDefault="00904497" w:rsidP="00904497">
            <w:pPr>
              <w:pStyle w:val="TableRowCentered"/>
              <w:rPr>
                <w:color w:val="3333FF"/>
                <w:sz w:val="22"/>
                <w:u w:val="single"/>
              </w:rPr>
            </w:pPr>
          </w:p>
          <w:p w14:paraId="25C66514" w14:textId="6D57B5BA" w:rsidR="00904497" w:rsidRPr="00642310" w:rsidRDefault="00904497" w:rsidP="00904497">
            <w:pPr>
              <w:pStyle w:val="TableRowCentered"/>
              <w:jc w:val="left"/>
              <w:rPr>
                <w:color w:val="3333FF"/>
                <w:sz w:val="22"/>
                <w:u w:val="single"/>
              </w:rPr>
            </w:pPr>
            <w:r w:rsidRPr="00904497">
              <w:rPr>
                <w:color w:val="3333FF"/>
                <w:sz w:val="22"/>
                <w:u w:val="single"/>
              </w:rPr>
              <w:t>https://educationendowmentfoundation.org.uk/education-evidence/teaching-learning-toolkit/reading-comprehension-strategies</w:t>
            </w:r>
          </w:p>
          <w:p w14:paraId="33880F89" w14:textId="163A300C" w:rsidR="00642310" w:rsidRDefault="00642310" w:rsidP="00BE157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D403" w14:textId="517B6B62" w:rsidR="00BE1578" w:rsidRDefault="00BE1578" w:rsidP="00BE1578">
            <w:pPr>
              <w:pStyle w:val="TableRowCentered"/>
              <w:jc w:val="left"/>
              <w:rPr>
                <w:sz w:val="22"/>
              </w:rPr>
            </w:pPr>
            <w:r>
              <w:rPr>
                <w:sz w:val="22"/>
              </w:rPr>
              <w:t>3</w:t>
            </w:r>
          </w:p>
        </w:tc>
      </w:tr>
      <w:tr w:rsidR="003E2BE7" w14:paraId="633F5FD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FF995" w14:textId="010B11C8" w:rsidR="00BE1578" w:rsidRDefault="005D3F41" w:rsidP="00BE1578">
            <w:pPr>
              <w:pStyle w:val="TableRow"/>
              <w:rPr>
                <w:sz w:val="22"/>
              </w:rPr>
            </w:pPr>
            <w:r>
              <w:rPr>
                <w:sz w:val="22"/>
              </w:rPr>
              <w:lastRenderedPageBreak/>
              <w:t>Investing in the training of staff to deliver Language Link intervention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82244" w14:textId="77777777" w:rsidR="00BE1578" w:rsidRDefault="005D3F41" w:rsidP="00BE1578">
            <w:pPr>
              <w:pStyle w:val="TableRowCentered"/>
              <w:jc w:val="left"/>
              <w:rPr>
                <w:sz w:val="22"/>
              </w:rPr>
            </w:pPr>
            <w:r>
              <w:rPr>
                <w:sz w:val="22"/>
              </w:rPr>
              <w:t xml:space="preserve">Oral language interventions, such as Language Link can have a positive impact on pupils’ language skills.  Approaches that focus on speaking and listening and a combination of the two show positive impacts on attainment. </w:t>
            </w:r>
          </w:p>
          <w:p w14:paraId="24A94A80" w14:textId="77777777" w:rsidR="00F76578" w:rsidRDefault="00F76578" w:rsidP="00BE1578">
            <w:pPr>
              <w:pStyle w:val="TableRowCentered"/>
              <w:jc w:val="left"/>
              <w:rPr>
                <w:sz w:val="22"/>
              </w:rPr>
            </w:pPr>
          </w:p>
          <w:p w14:paraId="432D6BAD" w14:textId="068B7CE2" w:rsidR="00F76578" w:rsidRDefault="00F76578" w:rsidP="00BE1578">
            <w:pPr>
              <w:pStyle w:val="TableRowCentered"/>
              <w:jc w:val="left"/>
              <w:rPr>
                <w:sz w:val="22"/>
              </w:rPr>
            </w:pPr>
            <w:r w:rsidRPr="00F76578">
              <w:rPr>
                <w:sz w:val="22"/>
              </w:rPr>
              <w:t>Infant Language Link enables</w:t>
            </w:r>
            <w:r>
              <w:rPr>
                <w:sz w:val="22"/>
              </w:rPr>
              <w:t xml:space="preserve"> us</w:t>
            </w:r>
            <w:r w:rsidRPr="00F76578">
              <w:rPr>
                <w:sz w:val="22"/>
              </w:rPr>
              <w:t xml:space="preserve"> to track impact with a powerful set of progress measures. Teacher Engagement Ratings help teachers set targets for improvement across key classroom skills including, communication, participation, </w:t>
            </w:r>
            <w:r w:rsidR="002D0682" w:rsidRPr="00F76578">
              <w:rPr>
                <w:sz w:val="22"/>
              </w:rPr>
              <w:t>self-regulation</w:t>
            </w:r>
            <w:r w:rsidRPr="00F76578">
              <w:rPr>
                <w:sz w:val="22"/>
              </w:rPr>
              <w:t>, active involvement and social confidence.</w:t>
            </w:r>
          </w:p>
          <w:p w14:paraId="0F46ABB0" w14:textId="5F220E7C" w:rsidR="0026327F" w:rsidRDefault="0026327F" w:rsidP="00BE1578">
            <w:pPr>
              <w:pStyle w:val="TableRowCentered"/>
              <w:jc w:val="left"/>
              <w:rPr>
                <w:sz w:val="22"/>
              </w:rPr>
            </w:pPr>
          </w:p>
          <w:p w14:paraId="3892A601" w14:textId="6A3C4440" w:rsidR="0026327F" w:rsidRDefault="0026327F" w:rsidP="00BE1578">
            <w:pPr>
              <w:pStyle w:val="TableRowCentered"/>
              <w:jc w:val="left"/>
              <w:rPr>
                <w:sz w:val="22"/>
              </w:rPr>
            </w:pPr>
            <w:r w:rsidRPr="0026327F">
              <w:rPr>
                <w:sz w:val="22"/>
              </w:rPr>
              <w:t>Oral language interventions have some similarity to approaches based on Metacognition (which make talk about learning explicit in classrooms), and to Collaborative learning approaches which promote pupils’ interaction in groups.</w:t>
            </w:r>
          </w:p>
          <w:p w14:paraId="72E1BE57" w14:textId="1E42F62A" w:rsidR="00F76578" w:rsidRDefault="00F76578" w:rsidP="00BE1578">
            <w:pPr>
              <w:pStyle w:val="TableRowCentered"/>
              <w:jc w:val="left"/>
              <w:rPr>
                <w:sz w:val="22"/>
              </w:rPr>
            </w:pPr>
          </w:p>
          <w:p w14:paraId="09EA5D90" w14:textId="28D82E6D" w:rsidR="00F76578" w:rsidRDefault="004C25EB" w:rsidP="00BE1578">
            <w:pPr>
              <w:pStyle w:val="TableRowCentered"/>
              <w:jc w:val="left"/>
              <w:rPr>
                <w:rStyle w:val="Hyperlink"/>
                <w:sz w:val="22"/>
              </w:rPr>
            </w:pPr>
            <w:hyperlink r:id="rId30" w:history="1">
              <w:r w:rsidR="00F76578" w:rsidRPr="00F76578">
                <w:rPr>
                  <w:rStyle w:val="Hyperlink"/>
                  <w:sz w:val="22"/>
                </w:rPr>
                <w:t>https://speechandlanguage.info/infant</w:t>
              </w:r>
            </w:hyperlink>
          </w:p>
          <w:p w14:paraId="0879C5D2" w14:textId="65AC2ED7" w:rsidR="0026327F" w:rsidRDefault="0026327F" w:rsidP="00BE1578">
            <w:pPr>
              <w:pStyle w:val="TableRowCentered"/>
              <w:jc w:val="left"/>
              <w:rPr>
                <w:rStyle w:val="Hyperlink"/>
                <w:sz w:val="22"/>
              </w:rPr>
            </w:pPr>
          </w:p>
          <w:p w14:paraId="198DED90" w14:textId="63516187" w:rsidR="0026327F" w:rsidRDefault="004C25EB" w:rsidP="00BE1578">
            <w:pPr>
              <w:pStyle w:val="TableRowCentered"/>
              <w:jc w:val="left"/>
              <w:rPr>
                <w:sz w:val="22"/>
              </w:rPr>
            </w:pPr>
            <w:hyperlink r:id="rId31" w:history="1">
              <w:r w:rsidR="0026327F" w:rsidRPr="004868F5">
                <w:rPr>
                  <w:rStyle w:val="Hyperlink"/>
                  <w:sz w:val="22"/>
                </w:rPr>
                <w:t>https://educationendowmentfoundation.org.uk/education-evidence/teaching-learning-toolkit/oral-language-interventions</w:t>
              </w:r>
            </w:hyperlink>
          </w:p>
          <w:p w14:paraId="056E017A" w14:textId="77777777" w:rsidR="0026327F" w:rsidRDefault="0026327F" w:rsidP="00BE1578">
            <w:pPr>
              <w:pStyle w:val="TableRowCentered"/>
              <w:jc w:val="left"/>
              <w:rPr>
                <w:sz w:val="22"/>
              </w:rPr>
            </w:pPr>
          </w:p>
          <w:p w14:paraId="74E6C249" w14:textId="063BE784" w:rsidR="00F76578" w:rsidRDefault="00F76578" w:rsidP="00BE157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85FC8" w14:textId="7E7D17A2" w:rsidR="00BE1578" w:rsidRDefault="005D3F41" w:rsidP="00BE1578">
            <w:pPr>
              <w:pStyle w:val="TableRowCentered"/>
              <w:jc w:val="left"/>
              <w:rPr>
                <w:sz w:val="22"/>
              </w:rPr>
            </w:pPr>
            <w:r>
              <w:rPr>
                <w:sz w:val="22"/>
              </w:rPr>
              <w:t>1,2</w:t>
            </w:r>
          </w:p>
        </w:tc>
      </w:tr>
      <w:tr w:rsidR="00BB088E" w14:paraId="29F7188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8D94" w14:textId="307062DF" w:rsidR="00BB088E" w:rsidRDefault="00BB088E" w:rsidP="00BB088E">
            <w:pPr>
              <w:pStyle w:val="TableRow"/>
              <w:rPr>
                <w:sz w:val="22"/>
              </w:rPr>
            </w:pPr>
            <w:r>
              <w:rPr>
                <w:sz w:val="22"/>
              </w:rPr>
              <w:t xml:space="preserve">Providing mentoring sessions for our disadvantaged pupils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680DF" w14:textId="77777777" w:rsidR="00BB088E" w:rsidRDefault="00BB088E" w:rsidP="00BE1578">
            <w:pPr>
              <w:pStyle w:val="TableRowCentered"/>
              <w:jc w:val="left"/>
              <w:rPr>
                <w:sz w:val="22"/>
              </w:rPr>
            </w:pPr>
            <w:r w:rsidRPr="00BB088E">
              <w:rPr>
                <w:sz w:val="22"/>
              </w:rPr>
              <w:t>The impact of mentoring varies but, on average, it is likely to have a small positive impact on attainment.</w:t>
            </w:r>
          </w:p>
          <w:p w14:paraId="3886BF43" w14:textId="77777777" w:rsidR="00BB088E" w:rsidRDefault="00BB088E" w:rsidP="00BE1578">
            <w:pPr>
              <w:pStyle w:val="TableRowCentered"/>
              <w:jc w:val="left"/>
              <w:rPr>
                <w:sz w:val="22"/>
              </w:rPr>
            </w:pPr>
          </w:p>
          <w:p w14:paraId="28FA2A42" w14:textId="2C46440C" w:rsidR="00BB088E" w:rsidRDefault="004C25EB" w:rsidP="00BE1578">
            <w:pPr>
              <w:pStyle w:val="TableRowCentered"/>
              <w:jc w:val="left"/>
              <w:rPr>
                <w:sz w:val="22"/>
              </w:rPr>
            </w:pPr>
            <w:hyperlink r:id="rId32" w:history="1">
              <w:r w:rsidR="00BB088E" w:rsidRPr="004868F5">
                <w:rPr>
                  <w:rStyle w:val="Hyperlink"/>
                  <w:sz w:val="22"/>
                </w:rPr>
                <w:t>https://educationendowmentfoundation.org.uk/education-evidence/teaching-learning-toolkit/mentoring</w:t>
              </w:r>
            </w:hyperlink>
          </w:p>
          <w:p w14:paraId="1A9C2CC0" w14:textId="7E26939F" w:rsidR="00BB088E" w:rsidRDefault="00BB088E" w:rsidP="00BE157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D8E40" w14:textId="77777777" w:rsidR="00BB088E" w:rsidRDefault="00BB088E" w:rsidP="00BE1578">
            <w:pPr>
              <w:pStyle w:val="TableRowCentered"/>
              <w:jc w:val="left"/>
              <w:rPr>
                <w:sz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F8BB1A9" w:rsidR="00E66558" w:rsidRDefault="009D71E8">
      <w:pPr>
        <w:spacing w:before="240" w:after="120"/>
        <w:rPr>
          <w:i/>
          <w:iCs/>
        </w:rPr>
      </w:pPr>
      <w:r>
        <w:t xml:space="preserve">Budgeted cost: £ </w:t>
      </w:r>
    </w:p>
    <w:p w14:paraId="6D2B6C85" w14:textId="3F45D87C" w:rsidR="0031417D" w:rsidRDefault="0031417D">
      <w:pPr>
        <w:spacing w:before="240" w:after="120"/>
        <w:rPr>
          <w:i/>
          <w:iCs/>
        </w:rPr>
      </w:pPr>
      <w:r>
        <w:rPr>
          <w:i/>
          <w:iCs/>
        </w:rPr>
        <w:t>Release time for Chrissy, Zones resources</w:t>
      </w:r>
    </w:p>
    <w:p w14:paraId="59DC741A" w14:textId="3B366E52" w:rsidR="0031417D" w:rsidRDefault="0031417D">
      <w:pPr>
        <w:spacing w:before="240" w:after="120"/>
        <w:rPr>
          <w:i/>
          <w:iCs/>
        </w:rPr>
      </w:pPr>
      <w:r>
        <w:rPr>
          <w:i/>
          <w:iCs/>
        </w:rPr>
        <w:t>Cost of wraparound care 1 additional adult</w:t>
      </w:r>
    </w:p>
    <w:p w14:paraId="0F66810F" w14:textId="6C45D405" w:rsidR="0031417D" w:rsidRDefault="0031417D">
      <w:pPr>
        <w:spacing w:before="240" w:after="120"/>
      </w:pPr>
      <w:proofErr w:type="spellStart"/>
      <w:r>
        <w:rPr>
          <w:i/>
          <w:iCs/>
        </w:rPr>
        <w:t>Koziols</w:t>
      </w:r>
      <w:proofErr w:type="spellEnd"/>
    </w:p>
    <w:tbl>
      <w:tblPr>
        <w:tblW w:w="5000" w:type="pct"/>
        <w:tblCellMar>
          <w:left w:w="10" w:type="dxa"/>
          <w:right w:w="10" w:type="dxa"/>
        </w:tblCellMar>
        <w:tblLook w:val="04A0" w:firstRow="1" w:lastRow="0" w:firstColumn="1" w:lastColumn="0" w:noHBand="0" w:noVBand="1"/>
      </w:tblPr>
      <w:tblGrid>
        <w:gridCol w:w="2084"/>
        <w:gridCol w:w="5871"/>
        <w:gridCol w:w="1531"/>
      </w:tblGrid>
      <w:tr w:rsidR="00E66558" w14:paraId="2A7D5537" w14:textId="77777777" w:rsidTr="00E310DB">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3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4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D34890" w14:paraId="2A7D553B" w14:textId="77777777" w:rsidTr="00E310DB">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1063976" w:rsidR="00D34890" w:rsidRDefault="00D34890" w:rsidP="00D34890">
            <w:pPr>
              <w:pStyle w:val="TableRow"/>
            </w:pPr>
            <w:r>
              <w:rPr>
                <w:sz w:val="22"/>
              </w:rPr>
              <w:t xml:space="preserve">Whole staff training on the </w:t>
            </w:r>
            <w:r>
              <w:rPr>
                <w:sz w:val="22"/>
              </w:rPr>
              <w:lastRenderedPageBreak/>
              <w:t xml:space="preserve">Zones of Regulation programme to support pupils with </w:t>
            </w:r>
            <w:proofErr w:type="spellStart"/>
            <w:r>
              <w:rPr>
                <w:sz w:val="22"/>
              </w:rPr>
              <w:t>self regulation</w:t>
            </w:r>
            <w:proofErr w:type="spellEnd"/>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7032F" w14:textId="7ED0832D" w:rsidR="00D34890" w:rsidRDefault="00D34890" w:rsidP="00D34890">
            <w:pPr>
              <w:pStyle w:val="TableRowCentered"/>
              <w:jc w:val="left"/>
              <w:rPr>
                <w:sz w:val="22"/>
              </w:rPr>
            </w:pPr>
            <w:r>
              <w:rPr>
                <w:sz w:val="22"/>
              </w:rPr>
              <w:lastRenderedPageBreak/>
              <w:t xml:space="preserve">There is strong evidence to suggest that providing pupils with the ability to self-regulate supports them with </w:t>
            </w:r>
            <w:r>
              <w:rPr>
                <w:sz w:val="22"/>
              </w:rPr>
              <w:lastRenderedPageBreak/>
              <w:t xml:space="preserve">controlling </w:t>
            </w:r>
            <w:r w:rsidRPr="00E83BFE">
              <w:rPr>
                <w:sz w:val="22"/>
              </w:rPr>
              <w:t>reactions based on negative emotions such as frustrat</w:t>
            </w:r>
            <w:r>
              <w:rPr>
                <w:sz w:val="22"/>
              </w:rPr>
              <w:t>ion, anger, and embarrassment. it also helps them to</w:t>
            </w:r>
            <w:r w:rsidRPr="00E83BFE">
              <w:rPr>
                <w:sz w:val="22"/>
              </w:rPr>
              <w:t xml:space="preserve"> calm down when something exciting or upsetting happens</w:t>
            </w:r>
            <w:r>
              <w:rPr>
                <w:sz w:val="22"/>
              </w:rPr>
              <w:t xml:space="preserve"> as well as being</w:t>
            </w:r>
            <w:r w:rsidRPr="00E83BFE">
              <w:rPr>
                <w:sz w:val="22"/>
              </w:rPr>
              <w:t xml:space="preserve"> able to focus on a task</w:t>
            </w:r>
            <w:r>
              <w:rPr>
                <w:sz w:val="22"/>
              </w:rPr>
              <w:t xml:space="preserve"> and being </w:t>
            </w:r>
            <w:r w:rsidRPr="00E83BFE">
              <w:rPr>
                <w:sz w:val="22"/>
              </w:rPr>
              <w:t>able to control impulses.</w:t>
            </w:r>
          </w:p>
          <w:p w14:paraId="20454F68" w14:textId="71151D94" w:rsidR="00D529D2" w:rsidRDefault="00D529D2" w:rsidP="00D34890">
            <w:pPr>
              <w:pStyle w:val="TableRowCentered"/>
              <w:jc w:val="left"/>
              <w:rPr>
                <w:sz w:val="22"/>
              </w:rPr>
            </w:pPr>
          </w:p>
          <w:p w14:paraId="521CA955" w14:textId="1E8702E6" w:rsidR="00D529D2" w:rsidRDefault="00D529D2" w:rsidP="00D34890">
            <w:pPr>
              <w:pStyle w:val="TableRowCentered"/>
              <w:jc w:val="left"/>
              <w:rPr>
                <w:sz w:val="22"/>
              </w:rPr>
            </w:pPr>
            <w:r w:rsidRPr="00D529D2">
              <w:rPr>
                <w:sz w:val="22"/>
              </w:rPr>
              <w:t>The development of self-regulation and executive function is consistently linked with successful learning, including pre-reading skills, early mathematics and problem solving. Strategies that seek to improve learning by increasing self-regulation have an average impact of five additional months’ progress. A number of studies suggest that improving the self-regulation skills of children in the early years is likely to have a lasting positive impact on later learning at school, and also have a positive impact on wider outcomes such as behaviour and persistence.</w:t>
            </w:r>
          </w:p>
          <w:p w14:paraId="3C8703FA" w14:textId="6F769DB5" w:rsidR="00D529D2" w:rsidRDefault="00D529D2" w:rsidP="00D34890">
            <w:pPr>
              <w:pStyle w:val="TableRowCentered"/>
              <w:jc w:val="left"/>
              <w:rPr>
                <w:sz w:val="22"/>
              </w:rPr>
            </w:pPr>
          </w:p>
          <w:p w14:paraId="348D0B10" w14:textId="2EFFB9C4" w:rsidR="00D529D2" w:rsidRDefault="00D529D2" w:rsidP="00D34890">
            <w:pPr>
              <w:pStyle w:val="TableRowCentered"/>
              <w:jc w:val="left"/>
              <w:rPr>
                <w:sz w:val="22"/>
              </w:rPr>
            </w:pPr>
            <w:r w:rsidRPr="00D529D2">
              <w:rPr>
                <w:sz w:val="22"/>
              </w:rPr>
              <w:t>There are some indications that children from disadvantaged backgrounds are more likely to begin nursery or reception with weaker self-regulation skills than their peers. As a result, embedding self-regulation strategies into early years teaching is likely to be particularly beneficial for children from disadvantaged backgrounds.</w:t>
            </w:r>
          </w:p>
          <w:p w14:paraId="39F0662A" w14:textId="77777777" w:rsidR="00E51CD8" w:rsidRDefault="00E51CD8" w:rsidP="00D34890">
            <w:pPr>
              <w:pStyle w:val="TableRowCentered"/>
              <w:jc w:val="left"/>
              <w:rPr>
                <w:sz w:val="22"/>
              </w:rPr>
            </w:pPr>
          </w:p>
          <w:p w14:paraId="238657DE" w14:textId="21294C96" w:rsidR="00E51CD8" w:rsidRDefault="00E51CD8" w:rsidP="00D34890">
            <w:pPr>
              <w:pStyle w:val="TableRowCentered"/>
              <w:jc w:val="left"/>
              <w:rPr>
                <w:sz w:val="22"/>
              </w:rPr>
            </w:pPr>
            <w:r w:rsidRPr="00E51CD8">
              <w:rPr>
                <w:sz w:val="22"/>
              </w:rPr>
              <w:t xml:space="preserve">The potential impact of metacognition and self-regulation approaches is high (+7 </w:t>
            </w:r>
            <w:proofErr w:type="gramStart"/>
            <w:r w:rsidRPr="00E51CD8">
              <w:rPr>
                <w:sz w:val="22"/>
              </w:rPr>
              <w:t>months</w:t>
            </w:r>
            <w:proofErr w:type="gramEnd"/>
            <w:r w:rsidRPr="00E51CD8">
              <w:rPr>
                <w:sz w:val="22"/>
              </w:rPr>
              <w:t xml:space="preserve"> additional progress)</w:t>
            </w:r>
          </w:p>
          <w:p w14:paraId="486BDDFA" w14:textId="55196669" w:rsidR="00904497" w:rsidRDefault="00904497" w:rsidP="00D34890">
            <w:pPr>
              <w:pStyle w:val="TableRowCentered"/>
              <w:jc w:val="left"/>
              <w:rPr>
                <w:sz w:val="22"/>
              </w:rPr>
            </w:pPr>
          </w:p>
          <w:p w14:paraId="369B88A0" w14:textId="4044E213" w:rsidR="00E51CD8" w:rsidRDefault="00904497" w:rsidP="00D34890">
            <w:pPr>
              <w:pStyle w:val="TableRowCentered"/>
              <w:jc w:val="left"/>
              <w:rPr>
                <w:sz w:val="22"/>
              </w:rPr>
            </w:pPr>
            <w:r w:rsidRPr="00904497">
              <w:rPr>
                <w:sz w:val="22"/>
              </w:rPr>
              <w:t>The evidence indicates that explicitly teaching strategies to help plan, monitor and evaluate specific aspects of their learning can be effective.</w:t>
            </w:r>
          </w:p>
          <w:p w14:paraId="61A21F6E" w14:textId="77777777" w:rsidR="00D34890" w:rsidRDefault="00D34890" w:rsidP="00D34890">
            <w:pPr>
              <w:pStyle w:val="TableRowCentered"/>
              <w:jc w:val="left"/>
              <w:rPr>
                <w:sz w:val="22"/>
              </w:rPr>
            </w:pPr>
          </w:p>
          <w:p w14:paraId="24284BE1" w14:textId="77777777" w:rsidR="00D34890" w:rsidRDefault="004C25EB" w:rsidP="00D34890">
            <w:pPr>
              <w:pStyle w:val="TableRowCentered"/>
              <w:jc w:val="left"/>
              <w:rPr>
                <w:rStyle w:val="Hyperlink"/>
                <w:sz w:val="22"/>
              </w:rPr>
            </w:pPr>
            <w:hyperlink r:id="rId33" w:history="1">
              <w:r w:rsidR="00D34890" w:rsidRPr="00E83BFE">
                <w:rPr>
                  <w:rStyle w:val="Hyperlink"/>
                  <w:sz w:val="22"/>
                </w:rPr>
                <w:t>https://www.zonesofregulation.com/research--evidence-base.html</w:t>
              </w:r>
            </w:hyperlink>
          </w:p>
          <w:p w14:paraId="627EF046" w14:textId="77777777" w:rsidR="00E51CD8" w:rsidRDefault="00E51CD8" w:rsidP="00D34890">
            <w:pPr>
              <w:pStyle w:val="TableRowCentered"/>
              <w:jc w:val="left"/>
              <w:rPr>
                <w:rStyle w:val="Hyperlink"/>
                <w:sz w:val="22"/>
              </w:rPr>
            </w:pPr>
          </w:p>
          <w:p w14:paraId="33458BDF" w14:textId="5A219840" w:rsidR="00E51CD8" w:rsidRDefault="004C25EB" w:rsidP="00D34890">
            <w:pPr>
              <w:pStyle w:val="TableRowCentered"/>
              <w:jc w:val="left"/>
              <w:rPr>
                <w:sz w:val="22"/>
              </w:rPr>
            </w:pPr>
            <w:hyperlink r:id="rId34" w:history="1">
              <w:r w:rsidR="00E51CD8" w:rsidRPr="004868F5">
                <w:rPr>
                  <w:rStyle w:val="Hyperlink"/>
                  <w:sz w:val="22"/>
                </w:rPr>
                <w:t>https://educationendowmentfoundation.org.uk/education-evidence/teaching-learning-toolkit/metacognition-and-self-regulation</w:t>
              </w:r>
            </w:hyperlink>
          </w:p>
          <w:p w14:paraId="2A7D5539" w14:textId="0F14FD49" w:rsidR="00E51CD8" w:rsidRDefault="00E51CD8" w:rsidP="00D34890">
            <w:pPr>
              <w:pStyle w:val="TableRowCentered"/>
              <w:jc w:val="left"/>
              <w:rPr>
                <w:sz w:val="22"/>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AACF5FD" w:rsidR="00D34890" w:rsidRDefault="00D34890" w:rsidP="00D34890">
            <w:pPr>
              <w:pStyle w:val="TableRowCentered"/>
              <w:jc w:val="left"/>
              <w:rPr>
                <w:sz w:val="22"/>
              </w:rPr>
            </w:pPr>
            <w:r>
              <w:rPr>
                <w:sz w:val="22"/>
              </w:rPr>
              <w:lastRenderedPageBreak/>
              <w:t>5</w:t>
            </w:r>
          </w:p>
        </w:tc>
      </w:tr>
      <w:tr w:rsidR="00D34890" w14:paraId="2A7D553F" w14:textId="77777777" w:rsidTr="00E310DB">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B8262B7" w:rsidR="00D34890" w:rsidRDefault="00D34890" w:rsidP="00D34890">
            <w:pPr>
              <w:pStyle w:val="TableRow"/>
              <w:rPr>
                <w:i/>
                <w:sz w:val="22"/>
              </w:rPr>
            </w:pPr>
            <w:r w:rsidRPr="00BE1578">
              <w:rPr>
                <w:sz w:val="22"/>
              </w:rPr>
              <w:lastRenderedPageBreak/>
              <w:t>Providing targeted training to support staff to deliver wellbeing interventions to support pupils with emotional wellbeing (ELSA)</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1CF76" w14:textId="57FCEACC" w:rsidR="00D34890" w:rsidRDefault="00D34890" w:rsidP="00D34890">
            <w:pPr>
              <w:pStyle w:val="TableRowCentered"/>
              <w:jc w:val="left"/>
              <w:rPr>
                <w:sz w:val="22"/>
              </w:rPr>
            </w:pPr>
            <w:r w:rsidRPr="00BE1578">
              <w:rPr>
                <w:sz w:val="22"/>
              </w:rPr>
              <w:t>There is extensive evidence associating childhood social and emotional skills with improved outcomes at school and in later life.</w:t>
            </w:r>
          </w:p>
          <w:p w14:paraId="7AE83F7D" w14:textId="77777777" w:rsidR="00D529D2" w:rsidRDefault="00D529D2" w:rsidP="00D34890">
            <w:pPr>
              <w:pStyle w:val="TableRowCentered"/>
              <w:jc w:val="left"/>
              <w:rPr>
                <w:sz w:val="22"/>
              </w:rPr>
            </w:pPr>
          </w:p>
          <w:p w14:paraId="1CC872F9" w14:textId="63C0EA45" w:rsidR="00D529D2" w:rsidRDefault="00D529D2" w:rsidP="00D34890">
            <w:pPr>
              <w:pStyle w:val="TableRowCentered"/>
              <w:jc w:val="left"/>
              <w:rPr>
                <w:sz w:val="22"/>
              </w:rPr>
            </w:pPr>
            <w:r w:rsidRPr="00D529D2">
              <w:rPr>
                <w:sz w:val="22"/>
              </w:rPr>
              <w:t>Social and emotional learning approaches have a positive impact, on average, of 4 months’ additional progress in academic outcomes over the course of an academic year.</w:t>
            </w:r>
          </w:p>
          <w:p w14:paraId="6BC3DA10" w14:textId="77777777" w:rsidR="00D529D2" w:rsidRDefault="00D529D2" w:rsidP="00D34890">
            <w:pPr>
              <w:pStyle w:val="TableRowCentered"/>
              <w:jc w:val="left"/>
              <w:rPr>
                <w:sz w:val="22"/>
              </w:rPr>
            </w:pPr>
          </w:p>
          <w:p w14:paraId="5A50B88F" w14:textId="77777777" w:rsidR="00D34890" w:rsidRDefault="00D34890" w:rsidP="00D34890">
            <w:pPr>
              <w:pStyle w:val="TableRowCentered"/>
              <w:jc w:val="left"/>
              <w:rPr>
                <w:sz w:val="22"/>
              </w:rPr>
            </w:pPr>
          </w:p>
          <w:p w14:paraId="65C525DB" w14:textId="77777777" w:rsidR="00D34890" w:rsidRDefault="004C25EB" w:rsidP="00D34890">
            <w:pPr>
              <w:pStyle w:val="TableRowCentered"/>
              <w:jc w:val="left"/>
              <w:rPr>
                <w:sz w:val="22"/>
              </w:rPr>
            </w:pPr>
            <w:hyperlink r:id="rId35" w:history="1">
              <w:r w:rsidR="00D34890" w:rsidRPr="006B4DF2">
                <w:rPr>
                  <w:rStyle w:val="Hyperlink"/>
                  <w:sz w:val="22"/>
                </w:rPr>
                <w:t>https://educationendowmentfoundation.org.uk/public/files</w:t>
              </w:r>
            </w:hyperlink>
          </w:p>
          <w:p w14:paraId="574A2F94" w14:textId="77777777" w:rsidR="00D34890" w:rsidRDefault="00D34890" w:rsidP="00D34890">
            <w:pPr>
              <w:pStyle w:val="TableRowCentered"/>
              <w:jc w:val="left"/>
              <w:rPr>
                <w:sz w:val="22"/>
              </w:rPr>
            </w:pPr>
          </w:p>
          <w:p w14:paraId="4B8F7EFB" w14:textId="12E7C97B" w:rsidR="00D34890" w:rsidRDefault="004C25EB" w:rsidP="00D34890">
            <w:pPr>
              <w:pStyle w:val="TableRowCentered"/>
              <w:jc w:val="left"/>
              <w:rPr>
                <w:sz w:val="22"/>
              </w:rPr>
            </w:pPr>
            <w:hyperlink r:id="rId36" w:history="1">
              <w:r w:rsidR="00D529D2" w:rsidRPr="004868F5">
                <w:rPr>
                  <w:rStyle w:val="Hyperlink"/>
                  <w:sz w:val="22"/>
                </w:rPr>
                <w:t>https://educationendowmentfoundation.org.uk/education-evidence/teaching-learning-toolkit/social-and-emotional-learning</w:t>
              </w:r>
            </w:hyperlink>
          </w:p>
          <w:p w14:paraId="2A7D553D" w14:textId="7C1BA4D5" w:rsidR="00D529D2" w:rsidRDefault="00D529D2" w:rsidP="00D34890">
            <w:pPr>
              <w:pStyle w:val="TableRowCentered"/>
              <w:jc w:val="left"/>
              <w:rPr>
                <w:sz w:val="22"/>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410259E" w:rsidR="00D34890" w:rsidRDefault="00D34890" w:rsidP="00D34890">
            <w:pPr>
              <w:pStyle w:val="TableRowCentered"/>
              <w:jc w:val="left"/>
              <w:rPr>
                <w:sz w:val="22"/>
              </w:rPr>
            </w:pPr>
            <w:r>
              <w:rPr>
                <w:sz w:val="22"/>
              </w:rPr>
              <w:lastRenderedPageBreak/>
              <w:t>5</w:t>
            </w:r>
          </w:p>
        </w:tc>
      </w:tr>
      <w:tr w:rsidR="00D34890" w14:paraId="618C1036" w14:textId="77777777" w:rsidTr="00E310DB">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8DEA8" w14:textId="2BD000E2" w:rsidR="00D34890" w:rsidRPr="00BE1578" w:rsidRDefault="00D34890" w:rsidP="00D34890">
            <w:pPr>
              <w:pStyle w:val="TableRow"/>
              <w:rPr>
                <w:sz w:val="22"/>
              </w:rPr>
            </w:pPr>
            <w:r>
              <w:rPr>
                <w:sz w:val="22"/>
              </w:rPr>
              <w:lastRenderedPageBreak/>
              <w:t>Contingency fund to support families of disadvantaged pupils who facing social/financial issues e.g. buying clothes, equipment, providing technology</w:t>
            </w:r>
            <w:r w:rsidR="0031417D">
              <w:rPr>
                <w:sz w:val="22"/>
              </w:rPr>
              <w:t xml:space="preserve">, TAF </w:t>
            </w:r>
            <w:proofErr w:type="spellStart"/>
            <w:r w:rsidR="0031417D">
              <w:rPr>
                <w:sz w:val="22"/>
              </w:rPr>
              <w:t>mtgs</w:t>
            </w:r>
            <w:proofErr w:type="spellEnd"/>
            <w:r w:rsidR="0031417D">
              <w:rPr>
                <w:sz w:val="22"/>
              </w:rPr>
              <w:t xml:space="preserve"> for signposting to other agencies</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D7A0C" w14:textId="555BE0F7" w:rsidR="00D34890" w:rsidRDefault="00845A3A" w:rsidP="00845A3A">
            <w:pPr>
              <w:rPr>
                <w:sz w:val="22"/>
                <w:szCs w:val="22"/>
              </w:rPr>
            </w:pPr>
            <w:r w:rsidRPr="00845A3A">
              <w:rPr>
                <w:sz w:val="22"/>
                <w:szCs w:val="22"/>
              </w:rPr>
              <w:t xml:space="preserve">We identify a need to set aside funding </w:t>
            </w:r>
            <w:r>
              <w:rPr>
                <w:sz w:val="22"/>
                <w:szCs w:val="22"/>
              </w:rPr>
              <w:t xml:space="preserve">to respond quickly to immediate needs of our most vulnerable disadvantaged families. </w:t>
            </w:r>
          </w:p>
          <w:p w14:paraId="40D244C3" w14:textId="77777777" w:rsidR="007B0D38" w:rsidRDefault="007B0D38" w:rsidP="00845A3A">
            <w:pPr>
              <w:rPr>
                <w:sz w:val="22"/>
                <w:szCs w:val="22"/>
              </w:rPr>
            </w:pPr>
          </w:p>
          <w:p w14:paraId="1D74F948" w14:textId="32641798" w:rsidR="00D529D2" w:rsidRPr="00845A3A" w:rsidRDefault="00D529D2" w:rsidP="00845A3A">
            <w:pPr>
              <w:rPr>
                <w:sz w:val="22"/>
                <w:szCs w:val="22"/>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BEE4" w14:textId="421E5DF6" w:rsidR="00D34890" w:rsidRDefault="007B0D38" w:rsidP="00D34890">
            <w:pPr>
              <w:pStyle w:val="TableRowCentered"/>
              <w:jc w:val="left"/>
              <w:rPr>
                <w:sz w:val="22"/>
              </w:rPr>
            </w:pPr>
            <w:r>
              <w:rPr>
                <w:sz w:val="22"/>
              </w:rPr>
              <w:t>3,4,</w:t>
            </w:r>
            <w:r w:rsidR="00845A3A">
              <w:rPr>
                <w:sz w:val="22"/>
              </w:rPr>
              <w:t>5</w:t>
            </w:r>
          </w:p>
        </w:tc>
      </w:tr>
      <w:tr w:rsidR="00D34890" w14:paraId="140A49B5" w14:textId="77777777" w:rsidTr="00E310DB">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7E91F" w14:textId="77777777" w:rsidR="00E310DB" w:rsidRDefault="00D34890" w:rsidP="00E310DB">
            <w:pPr>
              <w:pStyle w:val="TableRow"/>
              <w:rPr>
                <w:sz w:val="22"/>
              </w:rPr>
            </w:pPr>
            <w:r>
              <w:rPr>
                <w:sz w:val="22"/>
              </w:rPr>
              <w:t>Providing wraparound care for families of disadva</w:t>
            </w:r>
            <w:r w:rsidR="00E310DB">
              <w:rPr>
                <w:sz w:val="22"/>
              </w:rPr>
              <w:t>ntag</w:t>
            </w:r>
            <w:r>
              <w:rPr>
                <w:sz w:val="22"/>
              </w:rPr>
              <w:t>ed pupils who are</w:t>
            </w:r>
            <w:r w:rsidR="00E310DB">
              <w:rPr>
                <w:sz w:val="22"/>
              </w:rPr>
              <w:t xml:space="preserve"> facing emotional/</w:t>
            </w:r>
          </w:p>
          <w:p w14:paraId="057B1DFF" w14:textId="7B43D3CB" w:rsidR="00D34890" w:rsidRDefault="00E310DB" w:rsidP="00E310DB">
            <w:pPr>
              <w:pStyle w:val="TableRow"/>
              <w:rPr>
                <w:sz w:val="22"/>
              </w:rPr>
            </w:pPr>
            <w:r>
              <w:rPr>
                <w:sz w:val="22"/>
              </w:rPr>
              <w:t>safeguarding issues</w:t>
            </w:r>
            <w:r w:rsidR="00D34890">
              <w:rPr>
                <w:sz w:val="22"/>
              </w:rPr>
              <w:t xml:space="preserve"> </w:t>
            </w:r>
            <w:r w:rsidR="003E018E">
              <w:rPr>
                <w:sz w:val="22"/>
              </w:rPr>
              <w:t>or are in crisis</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1345D" w14:textId="77777777" w:rsidR="00D34890" w:rsidRDefault="00845A3A" w:rsidP="00D34890">
            <w:pPr>
              <w:pStyle w:val="TableRowCentered"/>
              <w:jc w:val="left"/>
              <w:rPr>
                <w:sz w:val="22"/>
              </w:rPr>
            </w:pPr>
            <w:r>
              <w:rPr>
                <w:sz w:val="22"/>
              </w:rPr>
              <w:t>We identified a need to provide wraparound care to support the families of disadvantaged pupils w</w:t>
            </w:r>
            <w:r w:rsidR="007B0D38">
              <w:rPr>
                <w:sz w:val="22"/>
              </w:rPr>
              <w:t>here safeguarding was a concern.</w:t>
            </w:r>
            <w:r>
              <w:rPr>
                <w:sz w:val="22"/>
              </w:rPr>
              <w:t xml:space="preserve"> </w:t>
            </w:r>
          </w:p>
          <w:p w14:paraId="37E33D50" w14:textId="77777777" w:rsidR="003E018E" w:rsidRDefault="003E018E" w:rsidP="00D34890">
            <w:pPr>
              <w:pStyle w:val="TableRowCentered"/>
              <w:jc w:val="left"/>
              <w:rPr>
                <w:sz w:val="22"/>
              </w:rPr>
            </w:pPr>
          </w:p>
          <w:p w14:paraId="45DB9414" w14:textId="0EBDC6A1" w:rsidR="003E018E" w:rsidRDefault="003E018E" w:rsidP="00D34890">
            <w:pPr>
              <w:pStyle w:val="TableRowCentered"/>
              <w:jc w:val="left"/>
              <w:rPr>
                <w:sz w:val="22"/>
              </w:rPr>
            </w:pPr>
            <w:r w:rsidRPr="003E018E">
              <w:rPr>
                <w:sz w:val="22"/>
              </w:rPr>
              <w:t>Parental engagement has a positive impact on average of 4 months’ additional progress.</w:t>
            </w:r>
          </w:p>
          <w:p w14:paraId="2179C843" w14:textId="77777777" w:rsidR="003E018E" w:rsidRDefault="003E018E" w:rsidP="00D34890">
            <w:pPr>
              <w:pStyle w:val="TableRowCentered"/>
              <w:jc w:val="left"/>
              <w:rPr>
                <w:sz w:val="22"/>
              </w:rPr>
            </w:pPr>
          </w:p>
          <w:p w14:paraId="64B419EC" w14:textId="78FAB17B" w:rsidR="003E018E" w:rsidRDefault="004C25EB" w:rsidP="00D34890">
            <w:pPr>
              <w:pStyle w:val="TableRowCentered"/>
              <w:jc w:val="left"/>
              <w:rPr>
                <w:sz w:val="22"/>
              </w:rPr>
            </w:pPr>
            <w:hyperlink r:id="rId37" w:history="1">
              <w:r w:rsidR="003E018E" w:rsidRPr="004868F5">
                <w:rPr>
                  <w:rStyle w:val="Hyperlink"/>
                  <w:sz w:val="22"/>
                </w:rPr>
                <w:t>https://educationendowmentfoundation.org.uk/education-evidence/teaching-learning-toolkit/parental-engagement</w:t>
              </w:r>
            </w:hyperlink>
          </w:p>
          <w:p w14:paraId="159D3652" w14:textId="77777777" w:rsidR="003E018E" w:rsidRDefault="003E018E" w:rsidP="00D34890">
            <w:pPr>
              <w:pStyle w:val="TableRowCentered"/>
              <w:jc w:val="left"/>
              <w:rPr>
                <w:sz w:val="22"/>
              </w:rPr>
            </w:pPr>
          </w:p>
          <w:p w14:paraId="5F3A6C38" w14:textId="5090F92D" w:rsidR="003E018E" w:rsidRPr="00BE1578" w:rsidRDefault="003E018E" w:rsidP="00D34890">
            <w:pPr>
              <w:pStyle w:val="TableRowCentered"/>
              <w:jc w:val="left"/>
              <w:rPr>
                <w:sz w:val="22"/>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67D1A" w14:textId="3AFD52E9" w:rsidR="00D34890" w:rsidRDefault="007B0D38" w:rsidP="00D34890">
            <w:pPr>
              <w:pStyle w:val="TableRowCentered"/>
              <w:jc w:val="left"/>
              <w:rPr>
                <w:sz w:val="22"/>
              </w:rPr>
            </w:pPr>
            <w:r>
              <w:rPr>
                <w:sz w:val="22"/>
              </w:rPr>
              <w:t>4,</w:t>
            </w:r>
            <w:r w:rsidR="00845A3A">
              <w:rPr>
                <w:sz w:val="22"/>
              </w:rPr>
              <w:t>5</w:t>
            </w:r>
          </w:p>
        </w:tc>
      </w:tr>
      <w:tr w:rsidR="00946D35" w14:paraId="3EA11A5E" w14:textId="77777777" w:rsidTr="00E310DB">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A5371" w14:textId="4176EF19" w:rsidR="00946D35" w:rsidRDefault="00946D35" w:rsidP="00E310DB">
            <w:pPr>
              <w:pStyle w:val="TableRow"/>
              <w:rPr>
                <w:sz w:val="22"/>
              </w:rPr>
            </w:pPr>
            <w:r w:rsidRPr="00946D35">
              <w:rPr>
                <w:sz w:val="22"/>
              </w:rPr>
              <w:t>Offering a wide range of extra-curricular activities to boost wellbeing, behaviour and aspiration. Disadvantaged pupils will be encouraged and supported to participate</w:t>
            </w:r>
            <w:r>
              <w:rPr>
                <w:sz w:val="22"/>
              </w:rPr>
              <w:t xml:space="preserve"> without being subjected to costs</w:t>
            </w:r>
          </w:p>
        </w:tc>
        <w:tc>
          <w:tcPr>
            <w:tcW w:w="5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F61E" w14:textId="77777777" w:rsidR="00946D35" w:rsidRDefault="00946D35" w:rsidP="00D34890">
            <w:pPr>
              <w:pStyle w:val="TableRowCentered"/>
              <w:jc w:val="left"/>
              <w:rPr>
                <w:sz w:val="22"/>
              </w:rPr>
            </w:pPr>
            <w:r>
              <w:rPr>
                <w:sz w:val="22"/>
              </w:rPr>
              <w:t>Current evidence is weak, however, due to the direct correlation to children’s services which linked to parenting capacity, the school is confident that this will support the cultural capital.</w:t>
            </w:r>
          </w:p>
          <w:p w14:paraId="7844F20D" w14:textId="77777777" w:rsidR="00946D35" w:rsidRDefault="00946D35" w:rsidP="00D34890">
            <w:pPr>
              <w:pStyle w:val="TableRowCentered"/>
              <w:jc w:val="left"/>
              <w:rPr>
                <w:sz w:val="22"/>
              </w:rPr>
            </w:pPr>
          </w:p>
          <w:p w14:paraId="1150F7D4" w14:textId="74708073" w:rsidR="00946D35" w:rsidRDefault="004C25EB" w:rsidP="00D34890">
            <w:pPr>
              <w:pStyle w:val="TableRowCentered"/>
              <w:jc w:val="left"/>
              <w:rPr>
                <w:sz w:val="22"/>
              </w:rPr>
            </w:pPr>
            <w:hyperlink r:id="rId38" w:history="1">
              <w:r w:rsidR="00946D35" w:rsidRPr="004868F5">
                <w:rPr>
                  <w:rStyle w:val="Hyperlink"/>
                  <w:sz w:val="22"/>
                </w:rPr>
                <w:t>https://educationendowmentfoundation.org.uk/education-evidence/teaching-learning-toolkit/aspiration-interventions</w:t>
              </w:r>
            </w:hyperlink>
          </w:p>
          <w:p w14:paraId="74D00BC3" w14:textId="629BE299" w:rsidR="00946D35" w:rsidRDefault="00946D35" w:rsidP="00D34890">
            <w:pPr>
              <w:pStyle w:val="TableRowCentered"/>
              <w:jc w:val="left"/>
              <w:rPr>
                <w:sz w:val="22"/>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01F63" w14:textId="77777777" w:rsidR="00946D35" w:rsidRDefault="00946D35" w:rsidP="00D34890">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77777777" w:rsidR="00E66558" w:rsidRDefault="009D71E8" w:rsidP="00120AB1">
      <w:r>
        <w:rPr>
          <w:b/>
          <w:bCs/>
          <w:color w:val="104F75"/>
          <w:sz w:val="28"/>
          <w:szCs w:val="28"/>
        </w:rPr>
        <w:t xml:space="preserve">Total budgeted cost: £ </w:t>
      </w:r>
      <w:r>
        <w:rPr>
          <w:i/>
          <w:iCs/>
          <w:color w:val="104F75"/>
          <w:sz w:val="28"/>
          <w:szCs w:val="28"/>
        </w:rPr>
        <w:t>[insert sum of 3 amounts stated above]</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5514B2" w14:textId="77777777" w:rsidR="004E0B88" w:rsidRDefault="004E0B88" w:rsidP="004E0B88">
            <w:pPr>
              <w:rPr>
                <w:iCs/>
                <w:lang w:eastAsia="en-US"/>
              </w:rPr>
            </w:pPr>
            <w:r>
              <w:rPr>
                <w:iCs/>
                <w:lang w:eastAsia="en-US"/>
              </w:rPr>
              <w:t>We have analysed the performance data from our school’s disadvantaged pupils during the academic year 2021/2022 using the KS1 and KS2 performance data, Early Years Goal data, the phonics check results, the Year 4 times tables check and our own internal assessments.</w:t>
            </w:r>
          </w:p>
          <w:p w14:paraId="52835E47" w14:textId="3937E70D" w:rsidR="004E0B88" w:rsidRDefault="004E0B88" w:rsidP="004E0B88">
            <w:pPr>
              <w:rPr>
                <w:iCs/>
                <w:lang w:eastAsia="en-US"/>
              </w:rPr>
            </w:pPr>
            <w:r>
              <w:rPr>
                <w:iCs/>
                <w:lang w:eastAsia="en-US"/>
              </w:rPr>
              <w:t xml:space="preserve">Schools are not required to publish the 2022 KS2 test results as the </w:t>
            </w:r>
            <w:proofErr w:type="spellStart"/>
            <w:r>
              <w:rPr>
                <w:iCs/>
                <w:lang w:eastAsia="en-US"/>
              </w:rPr>
              <w:t>DfE</w:t>
            </w:r>
            <w:proofErr w:type="spellEnd"/>
            <w:r>
              <w:rPr>
                <w:iCs/>
                <w:lang w:eastAsia="en-US"/>
              </w:rPr>
              <w:t xml:space="preserve"> is not publishing the data</w:t>
            </w:r>
            <w:r w:rsidR="00E96D15">
              <w:rPr>
                <w:iCs/>
                <w:lang w:eastAsia="en-US"/>
              </w:rPr>
              <w:t xml:space="preserve">.  </w:t>
            </w:r>
            <w:r w:rsidR="00C52AE1">
              <w:rPr>
                <w:iCs/>
                <w:lang w:eastAsia="en-US"/>
              </w:rPr>
              <w:t xml:space="preserve">This is a transitional arrangement for one year only.  In 2023, the </w:t>
            </w:r>
            <w:proofErr w:type="spellStart"/>
            <w:r w:rsidR="00C52AE1">
              <w:rPr>
                <w:iCs/>
                <w:lang w:eastAsia="en-US"/>
              </w:rPr>
              <w:t>DfE</w:t>
            </w:r>
            <w:proofErr w:type="spellEnd"/>
            <w:r w:rsidR="00C52AE1">
              <w:rPr>
                <w:iCs/>
                <w:lang w:eastAsia="en-US"/>
              </w:rPr>
              <w:t xml:space="preserve"> will be publishing KS2 school performance data.</w:t>
            </w:r>
          </w:p>
          <w:p w14:paraId="6BF9615D" w14:textId="77777777" w:rsidR="00E96D15" w:rsidRDefault="00E96D15" w:rsidP="004E0B88">
            <w:pPr>
              <w:rPr>
                <w:iCs/>
                <w:lang w:eastAsia="en-US"/>
              </w:rPr>
            </w:pPr>
            <w:r>
              <w:rPr>
                <w:iCs/>
                <w:lang w:eastAsia="en-US"/>
              </w:rPr>
              <w:t xml:space="preserve">The </w:t>
            </w:r>
            <w:proofErr w:type="spellStart"/>
            <w:r>
              <w:rPr>
                <w:iCs/>
                <w:lang w:eastAsia="en-US"/>
              </w:rPr>
              <w:t>DfE</w:t>
            </w:r>
            <w:proofErr w:type="spellEnd"/>
            <w:r>
              <w:rPr>
                <w:iCs/>
                <w:lang w:eastAsia="en-US"/>
              </w:rPr>
              <w:t xml:space="preserve"> has shared our 2022 KS2 performance data with us, to help us fully recognise the impact of the pandemic on our pupils and how this varies between different pupil groups.</w:t>
            </w:r>
          </w:p>
          <w:p w14:paraId="22653E4D" w14:textId="77777777" w:rsidR="00E96D15" w:rsidRDefault="00E96D15" w:rsidP="004E0B88">
            <w:pPr>
              <w:rPr>
                <w:iCs/>
                <w:lang w:eastAsia="en-US"/>
              </w:rPr>
            </w:pPr>
            <w:r>
              <w:rPr>
                <w:iCs/>
                <w:lang w:eastAsia="en-US"/>
              </w:rPr>
              <w:t xml:space="preserve">To support us in fully gauging the performance of our disadvantaged pupils, we have compared our results to the national level.  We have also looked at comparisons using the pre-pandemic scores of 2019 to assess how the performance of disadvantaged pupils has changed throughout this period. </w:t>
            </w:r>
          </w:p>
          <w:p w14:paraId="1D0400DE" w14:textId="13F2F58D" w:rsidR="00D95A70" w:rsidRDefault="00E96D15" w:rsidP="00D95A70">
            <w:pPr>
              <w:rPr>
                <w:iCs/>
                <w:lang w:eastAsia="en-US"/>
              </w:rPr>
            </w:pPr>
            <w:r>
              <w:rPr>
                <w:iCs/>
                <w:lang w:eastAsia="en-US"/>
              </w:rPr>
              <w:t xml:space="preserve">Data from end of year assessments suggest that </w:t>
            </w:r>
            <w:r w:rsidR="00F96A9C">
              <w:rPr>
                <w:iCs/>
                <w:lang w:eastAsia="en-US"/>
              </w:rPr>
              <w:t xml:space="preserve">our disadvantaged pupils are generally working below pupils who are non-disadvantaged. </w:t>
            </w:r>
            <w:r w:rsidR="00C52AE1">
              <w:rPr>
                <w:iCs/>
                <w:lang w:eastAsia="en-US"/>
              </w:rPr>
              <w:t>In r</w:t>
            </w:r>
            <w:r w:rsidR="001E6AE3">
              <w:rPr>
                <w:iCs/>
                <w:lang w:eastAsia="en-US"/>
              </w:rPr>
              <w:t>eading, the gap is widest in Years 2,4 and 5 and is more pronounced in the percentage of pupi</w:t>
            </w:r>
            <w:r w:rsidR="00C52AE1">
              <w:rPr>
                <w:iCs/>
                <w:lang w:eastAsia="en-US"/>
              </w:rPr>
              <w:t>ls reaching greater depth. Our w</w:t>
            </w:r>
            <w:r w:rsidR="001E6AE3">
              <w:rPr>
                <w:iCs/>
                <w:lang w:eastAsia="en-US"/>
              </w:rPr>
              <w:t xml:space="preserve">riting and </w:t>
            </w:r>
            <w:proofErr w:type="spellStart"/>
            <w:r w:rsidR="001E6AE3">
              <w:rPr>
                <w:iCs/>
                <w:lang w:eastAsia="en-US"/>
              </w:rPr>
              <w:t>SPaG</w:t>
            </w:r>
            <w:proofErr w:type="spellEnd"/>
            <w:r w:rsidR="001E6AE3">
              <w:rPr>
                <w:iCs/>
                <w:lang w:eastAsia="en-US"/>
              </w:rPr>
              <w:t xml:space="preserve"> data show</w:t>
            </w:r>
            <w:r w:rsidR="00C52AE1">
              <w:rPr>
                <w:iCs/>
                <w:lang w:eastAsia="en-US"/>
              </w:rPr>
              <w:t>s</w:t>
            </w:r>
            <w:r w:rsidR="001E6AE3">
              <w:rPr>
                <w:iCs/>
                <w:lang w:eastAsia="en-US"/>
              </w:rPr>
              <w:t xml:space="preserve"> that the gap between disadvantage</w:t>
            </w:r>
            <w:r w:rsidR="00C52AE1">
              <w:rPr>
                <w:iCs/>
                <w:lang w:eastAsia="en-US"/>
              </w:rPr>
              <w:t>d</w:t>
            </w:r>
            <w:r w:rsidR="001E6AE3">
              <w:rPr>
                <w:iCs/>
                <w:lang w:eastAsia="en-US"/>
              </w:rPr>
              <w:t xml:space="preserve"> and non-disadvantaged is much higher in Year 2, 4,5 and 6 and reflects the lack of basic skills as identified in the challenges </w:t>
            </w:r>
            <w:r w:rsidR="00C52AE1">
              <w:rPr>
                <w:iCs/>
                <w:lang w:eastAsia="en-US"/>
              </w:rPr>
              <w:t xml:space="preserve">that face </w:t>
            </w:r>
            <w:r w:rsidR="001E6AE3">
              <w:rPr>
                <w:iCs/>
                <w:lang w:eastAsia="en-US"/>
              </w:rPr>
              <w:t xml:space="preserve">disadvantaged pupils. </w:t>
            </w:r>
          </w:p>
          <w:p w14:paraId="7F2DBCEC" w14:textId="78A3B92D" w:rsidR="00D95A70" w:rsidRDefault="00D95A70" w:rsidP="00D95A70">
            <w:pPr>
              <w:rPr>
                <w:iCs/>
                <w:lang w:eastAsia="en-US"/>
              </w:rPr>
            </w:pPr>
            <w:r>
              <w:rPr>
                <w:iCs/>
                <w:lang w:eastAsia="en-US"/>
              </w:rPr>
              <w:t xml:space="preserve">This attainment gap is reflective of national figures and demonstrates the additional impact of the pandemic on disadvantaged pupils. </w:t>
            </w:r>
          </w:p>
          <w:p w14:paraId="3C03F87F" w14:textId="651EBCA9" w:rsidR="00D95A70" w:rsidRDefault="00C52AE1" w:rsidP="00D95A70">
            <w:pPr>
              <w:rPr>
                <w:iCs/>
                <w:lang w:eastAsia="en-US"/>
              </w:rPr>
            </w:pPr>
            <w:r>
              <w:rPr>
                <w:iCs/>
                <w:lang w:eastAsia="en-US"/>
              </w:rPr>
              <w:t>Referrals</w:t>
            </w:r>
            <w:r w:rsidR="00D95A70">
              <w:rPr>
                <w:iCs/>
                <w:lang w:eastAsia="en-US"/>
              </w:rPr>
              <w:t xml:space="preserve"> made to Children’s Services</w:t>
            </w:r>
            <w:r w:rsidR="0031417D">
              <w:rPr>
                <w:iCs/>
                <w:lang w:eastAsia="en-US"/>
              </w:rPr>
              <w:t xml:space="preserve"> (Stronger Families)</w:t>
            </w:r>
            <w:r w:rsidR="00D95A70">
              <w:rPr>
                <w:iCs/>
                <w:lang w:eastAsia="en-US"/>
              </w:rPr>
              <w:t xml:space="preserve"> for disadvantaged pupils has increased over the last year. In fact, all referrals made involved the families of disadvantaged pupils.  </w:t>
            </w:r>
            <w:r w:rsidR="00C5261C">
              <w:rPr>
                <w:iCs/>
                <w:lang w:eastAsia="en-US"/>
              </w:rPr>
              <w:t xml:space="preserve">This is why one of our priorities is to provide wellbeing support for our pupils and to train staff in leading these programmes. </w:t>
            </w:r>
          </w:p>
          <w:p w14:paraId="3032DB63" w14:textId="33EDE458" w:rsidR="00C5261C" w:rsidRDefault="00C5261C" w:rsidP="00D95A70">
            <w:pPr>
              <w:rPr>
                <w:iCs/>
                <w:lang w:eastAsia="en-US"/>
              </w:rPr>
            </w:pPr>
            <w:r>
              <w:rPr>
                <w:iCs/>
                <w:lang w:eastAsia="en-US"/>
              </w:rPr>
              <w:t>Since restarting parent workshops over the last ac</w:t>
            </w:r>
            <w:r w:rsidR="00C52AE1">
              <w:rPr>
                <w:iCs/>
                <w:lang w:eastAsia="en-US"/>
              </w:rPr>
              <w:t>ademic year, we have found that parental engagement of disadvantaged pupils has dropped, which is why increasing parental engagement and finding ways to of</w:t>
            </w:r>
            <w:r w:rsidR="00E57879">
              <w:rPr>
                <w:iCs/>
                <w:lang w:eastAsia="en-US"/>
              </w:rPr>
              <w:t>fer more targeted</w:t>
            </w:r>
            <w:r w:rsidR="00C52AE1">
              <w:rPr>
                <w:iCs/>
                <w:lang w:eastAsia="en-US"/>
              </w:rPr>
              <w:t xml:space="preserve"> support to disadvantaged </w:t>
            </w:r>
            <w:r w:rsidR="00E57879">
              <w:rPr>
                <w:iCs/>
                <w:lang w:eastAsia="en-US"/>
              </w:rPr>
              <w:t xml:space="preserve">families </w:t>
            </w:r>
            <w:r w:rsidR="00C52AE1">
              <w:rPr>
                <w:iCs/>
                <w:lang w:eastAsia="en-US"/>
              </w:rPr>
              <w:t xml:space="preserve">is one of our main priorities. </w:t>
            </w:r>
          </w:p>
          <w:p w14:paraId="1B1C5E9B" w14:textId="5C330F26" w:rsidR="001B64EB" w:rsidRPr="004E0B88" w:rsidRDefault="001B64EB" w:rsidP="00D95A70">
            <w:pPr>
              <w:rPr>
                <w:iCs/>
                <w:lang w:eastAsia="en-US"/>
              </w:rPr>
            </w:pPr>
            <w:r>
              <w:rPr>
                <w:iCs/>
                <w:lang w:eastAsia="en-US"/>
              </w:rPr>
              <w:t xml:space="preserve">Challenges relating to wellbeing and mental health have increased significantly since the pandemic and the impact on disadvantaged pupils has been particularly acute. </w:t>
            </w:r>
            <w:r w:rsidR="00E57879">
              <w:rPr>
                <w:iCs/>
                <w:lang w:eastAsia="en-US"/>
              </w:rPr>
              <w:t xml:space="preserve">We </w:t>
            </w:r>
            <w:r w:rsidR="00E57879">
              <w:rPr>
                <w:iCs/>
                <w:lang w:eastAsia="en-US"/>
              </w:rPr>
              <w:lastRenderedPageBreak/>
              <w:t>have been t</w:t>
            </w:r>
            <w:r>
              <w:rPr>
                <w:iCs/>
                <w:lang w:eastAsia="en-US"/>
              </w:rPr>
              <w:t>raining staff in wellbeing programmes like ELSA and creating a young carers</w:t>
            </w:r>
            <w:r w:rsidR="00E57879">
              <w:rPr>
                <w:iCs/>
                <w:lang w:eastAsia="en-US"/>
              </w:rPr>
              <w:t>’</w:t>
            </w:r>
            <w:r>
              <w:rPr>
                <w:iCs/>
                <w:lang w:eastAsia="en-US"/>
              </w:rPr>
              <w:t xml:space="preserve"> group for </w:t>
            </w:r>
            <w:r w:rsidR="00E57879">
              <w:rPr>
                <w:iCs/>
                <w:lang w:eastAsia="en-US"/>
              </w:rPr>
              <w:t>relevant pupils</w:t>
            </w:r>
            <w:r>
              <w:rPr>
                <w:iCs/>
                <w:lang w:eastAsia="en-US"/>
              </w:rPr>
              <w:t xml:space="preserve">. </w:t>
            </w:r>
          </w:p>
          <w:p w14:paraId="5023926C" w14:textId="0E526FA9" w:rsidR="00090F2F" w:rsidRPr="004E0B88" w:rsidRDefault="00090F2F" w:rsidP="00090F2F">
            <w:pPr>
              <w:rPr>
                <w:iCs/>
                <w:lang w:eastAsia="en-US"/>
              </w:rPr>
            </w:pPr>
          </w:p>
        </w:tc>
      </w:tr>
    </w:tbl>
    <w:p w14:paraId="2A7D5548" w14:textId="0199D85C" w:rsidR="00E66558" w:rsidRDefault="006D6372" w:rsidP="00A82A98">
      <w:pPr>
        <w:pStyle w:val="Heading2"/>
      </w:pPr>
      <w:r>
        <w:lastRenderedPageBreak/>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F469774" w:rsidR="00E66558" w:rsidRDefault="001443B0">
            <w:pPr>
              <w:pStyle w:val="TableRow"/>
            </w:pPr>
            <w:r>
              <w:t>The FFT Lightning Squad reading intervention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CD82366" w:rsidR="00E66558" w:rsidRDefault="001443B0">
            <w:pPr>
              <w:pStyle w:val="TableRowCentered"/>
              <w:jc w:val="left"/>
            </w:pPr>
            <w:r>
              <w:t>FFT</w:t>
            </w:r>
            <w:r w:rsidR="00380C89">
              <w:t xml:space="preserve"> (through the NTP)</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07D5910" w:rsidR="00E66558" w:rsidRDefault="001443B0">
            <w:pPr>
              <w:pStyle w:val="TableRow"/>
            </w:pPr>
            <w:r>
              <w:t>Third Space Learning 1:1 maths tuition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B919A2D" w:rsidR="00E66558" w:rsidRDefault="001443B0">
            <w:pPr>
              <w:pStyle w:val="TableRowCentered"/>
              <w:jc w:val="left"/>
            </w:pPr>
            <w:r>
              <w:t>Third Space Learning</w:t>
            </w:r>
            <w:r w:rsidR="00380C89">
              <w:t xml:space="preserve"> (through the NTP)</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E775C" w14:textId="77777777" w:rsidR="00E66558" w:rsidRDefault="00BE09D2" w:rsidP="00BE09D2">
            <w:pPr>
              <w:spacing w:before="120" w:after="120"/>
              <w:rPr>
                <w:rFonts w:cs="Arial"/>
                <w:iCs/>
              </w:rPr>
            </w:pPr>
            <w:r>
              <w:rPr>
                <w:rFonts w:cs="Arial"/>
                <w:iCs/>
              </w:rPr>
              <w:t>Our pupil premium strategy will be supplemented by additional activity that is not being funded by pupil premium or recovery premium. This will include:</w:t>
            </w:r>
          </w:p>
          <w:p w14:paraId="0EDE680C" w14:textId="77777777" w:rsidR="00BE09D2" w:rsidRDefault="00BE09D2" w:rsidP="00BE09D2">
            <w:pPr>
              <w:pStyle w:val="ListParagraph"/>
              <w:numPr>
                <w:ilvl w:val="0"/>
                <w:numId w:val="17"/>
              </w:numPr>
              <w:spacing w:before="120" w:after="120"/>
              <w:rPr>
                <w:rFonts w:cs="Arial"/>
                <w:iCs/>
              </w:rPr>
            </w:pPr>
            <w:r>
              <w:rPr>
                <w:rFonts w:cs="Arial"/>
                <w:iCs/>
              </w:rPr>
              <w:t>Offering inspiring engagement activities at the start of each topic across the school to boost aspiration and cultural capital. These activities may include a visit, having workshops in or creating an exciting scenario e.g. finding dinosaur eggs</w:t>
            </w:r>
          </w:p>
          <w:p w14:paraId="677F43AF" w14:textId="77777777" w:rsidR="00904497" w:rsidRDefault="00904497" w:rsidP="00BB088E">
            <w:pPr>
              <w:pStyle w:val="ListParagraph"/>
              <w:numPr>
                <w:ilvl w:val="0"/>
                <w:numId w:val="17"/>
              </w:numPr>
              <w:spacing w:before="120" w:after="120"/>
              <w:rPr>
                <w:rFonts w:cs="Arial"/>
                <w:iCs/>
              </w:rPr>
            </w:pPr>
            <w:r>
              <w:rPr>
                <w:rFonts w:cs="Arial"/>
                <w:iCs/>
              </w:rPr>
              <w:t>Providing teacher led booster sessions and teaching assistant interventions</w:t>
            </w:r>
            <w:r w:rsidRPr="00BB088E">
              <w:rPr>
                <w:rFonts w:cs="Arial"/>
                <w:iCs/>
              </w:rPr>
              <w:t xml:space="preserve"> </w:t>
            </w:r>
            <w:r w:rsidR="00E57879">
              <w:rPr>
                <w:rFonts w:cs="Arial"/>
                <w:iCs/>
              </w:rPr>
              <w:t>which are all research driven and time limited.</w:t>
            </w:r>
          </w:p>
          <w:p w14:paraId="2A7D5562" w14:textId="2579874B" w:rsidR="00135C71" w:rsidRPr="00BB088E" w:rsidRDefault="00135C71" w:rsidP="00BB088E">
            <w:pPr>
              <w:pStyle w:val="ListParagraph"/>
              <w:numPr>
                <w:ilvl w:val="0"/>
                <w:numId w:val="17"/>
              </w:numPr>
              <w:spacing w:before="120" w:after="120"/>
              <w:rPr>
                <w:rFonts w:cs="Arial"/>
                <w:iCs/>
              </w:rPr>
            </w:pPr>
            <w:r>
              <w:rPr>
                <w:rFonts w:cs="Arial"/>
                <w:iCs/>
              </w:rPr>
              <w:t xml:space="preserve">Peer awareness programmes delivered across KS1 and KS2 to develop children’s recognition of difference, enabling better acceptance of neurodiversity and every child’s unique talents. </w:t>
            </w:r>
          </w:p>
        </w:tc>
      </w:tr>
      <w:bookmarkEnd w:id="15"/>
      <w:bookmarkEnd w:id="16"/>
      <w:bookmarkEnd w:id="17"/>
    </w:tbl>
    <w:p w14:paraId="2A7D5564" w14:textId="13DD6B61" w:rsidR="00E66558" w:rsidRDefault="00E66558"/>
    <w:sectPr w:rsidR="00E66558">
      <w:headerReference w:type="default" r:id="rId39"/>
      <w:footerReference w:type="default" r:id="rId4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2F1C7" w14:textId="77777777" w:rsidR="004C25EB" w:rsidRDefault="004C25EB">
      <w:pPr>
        <w:spacing w:after="0" w:line="240" w:lineRule="auto"/>
      </w:pPr>
      <w:r>
        <w:separator/>
      </w:r>
    </w:p>
  </w:endnote>
  <w:endnote w:type="continuationSeparator" w:id="0">
    <w:p w14:paraId="70639E31" w14:textId="77777777" w:rsidR="004C25EB" w:rsidRDefault="004C25EB">
      <w:pPr>
        <w:spacing w:after="0" w:line="240" w:lineRule="auto"/>
      </w:pPr>
      <w:r>
        <w:continuationSeparator/>
      </w:r>
    </w:p>
  </w:endnote>
  <w:endnote w:type="continuationNotice" w:id="1">
    <w:p w14:paraId="2221A0E7" w14:textId="77777777" w:rsidR="004C25EB" w:rsidRDefault="004C2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363C57C" w:rsidR="00C373EA" w:rsidRDefault="009D71E8">
    <w:pPr>
      <w:pStyle w:val="Footer"/>
      <w:ind w:firstLine="4513"/>
    </w:pPr>
    <w:r>
      <w:fldChar w:fldCharType="begin"/>
    </w:r>
    <w:r>
      <w:instrText xml:space="preserve"> PAGE </w:instrText>
    </w:r>
    <w:r>
      <w:fldChar w:fldCharType="separate"/>
    </w:r>
    <w:r w:rsidR="00457EE8">
      <w:rPr>
        <w:noProof/>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1AB23" w14:textId="77777777" w:rsidR="004C25EB" w:rsidRDefault="004C25EB">
      <w:pPr>
        <w:spacing w:after="0" w:line="240" w:lineRule="auto"/>
      </w:pPr>
      <w:r>
        <w:separator/>
      </w:r>
    </w:p>
  </w:footnote>
  <w:footnote w:type="continuationSeparator" w:id="0">
    <w:p w14:paraId="79A773AA" w14:textId="77777777" w:rsidR="004C25EB" w:rsidRDefault="004C25EB">
      <w:pPr>
        <w:spacing w:after="0" w:line="240" w:lineRule="auto"/>
      </w:pPr>
      <w:r>
        <w:continuationSeparator/>
      </w:r>
    </w:p>
  </w:footnote>
  <w:footnote w:type="continuationNotice" w:id="1">
    <w:p w14:paraId="1F09348C" w14:textId="77777777" w:rsidR="004C25EB" w:rsidRDefault="004C25E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665D"/>
    <w:multiLevelType w:val="hybridMultilevel"/>
    <w:tmpl w:val="B8647C8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FD51A4"/>
    <w:multiLevelType w:val="hybridMultilevel"/>
    <w:tmpl w:val="B1DA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30F1B"/>
    <w:multiLevelType w:val="hybridMultilevel"/>
    <w:tmpl w:val="82427DC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1835CC9"/>
    <w:multiLevelType w:val="hybridMultilevel"/>
    <w:tmpl w:val="98F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8"/>
  </w:num>
  <w:num w:numId="5">
    <w:abstractNumId w:val="1"/>
  </w:num>
  <w:num w:numId="6">
    <w:abstractNumId w:val="9"/>
  </w:num>
  <w:num w:numId="7">
    <w:abstractNumId w:val="12"/>
  </w:num>
  <w:num w:numId="8">
    <w:abstractNumId w:val="16"/>
  </w:num>
  <w:num w:numId="9">
    <w:abstractNumId w:val="14"/>
  </w:num>
  <w:num w:numId="10">
    <w:abstractNumId w:val="13"/>
  </w:num>
  <w:num w:numId="11">
    <w:abstractNumId w:val="5"/>
  </w:num>
  <w:num w:numId="12">
    <w:abstractNumId w:val="15"/>
  </w:num>
  <w:num w:numId="13">
    <w:abstractNumId w:val="11"/>
  </w:num>
  <w:num w:numId="14">
    <w:abstractNumId w:val="2"/>
  </w:num>
  <w:num w:numId="15">
    <w:abstractNumId w:val="3"/>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4F47"/>
    <w:rsid w:val="00023729"/>
    <w:rsid w:val="000243B4"/>
    <w:rsid w:val="000452EB"/>
    <w:rsid w:val="000463AE"/>
    <w:rsid w:val="000507A3"/>
    <w:rsid w:val="00060A62"/>
    <w:rsid w:val="00064366"/>
    <w:rsid w:val="00066B73"/>
    <w:rsid w:val="00071481"/>
    <w:rsid w:val="00075FAE"/>
    <w:rsid w:val="00082F38"/>
    <w:rsid w:val="0008384B"/>
    <w:rsid w:val="00090F2F"/>
    <w:rsid w:val="000929EC"/>
    <w:rsid w:val="00093CDE"/>
    <w:rsid w:val="000A6379"/>
    <w:rsid w:val="000C06A0"/>
    <w:rsid w:val="000D22B0"/>
    <w:rsid w:val="000D35C9"/>
    <w:rsid w:val="000D520C"/>
    <w:rsid w:val="000D6596"/>
    <w:rsid w:val="000E6DF0"/>
    <w:rsid w:val="001037CB"/>
    <w:rsid w:val="0010629E"/>
    <w:rsid w:val="00106F72"/>
    <w:rsid w:val="00115538"/>
    <w:rsid w:val="00120AB1"/>
    <w:rsid w:val="00123A7F"/>
    <w:rsid w:val="00124F63"/>
    <w:rsid w:val="001278D0"/>
    <w:rsid w:val="00127F72"/>
    <w:rsid w:val="00135C71"/>
    <w:rsid w:val="00140646"/>
    <w:rsid w:val="001443B0"/>
    <w:rsid w:val="00147966"/>
    <w:rsid w:val="00147A4B"/>
    <w:rsid w:val="00160CC9"/>
    <w:rsid w:val="001671ED"/>
    <w:rsid w:val="001727FA"/>
    <w:rsid w:val="00173D4C"/>
    <w:rsid w:val="00183218"/>
    <w:rsid w:val="00183DE8"/>
    <w:rsid w:val="00185988"/>
    <w:rsid w:val="001873B6"/>
    <w:rsid w:val="001901E6"/>
    <w:rsid w:val="00191305"/>
    <w:rsid w:val="00195B55"/>
    <w:rsid w:val="001A2FE8"/>
    <w:rsid w:val="001A33AC"/>
    <w:rsid w:val="001B64EB"/>
    <w:rsid w:val="001C1C51"/>
    <w:rsid w:val="001C2DE9"/>
    <w:rsid w:val="001E0ECA"/>
    <w:rsid w:val="001E206F"/>
    <w:rsid w:val="001E5750"/>
    <w:rsid w:val="001E6AE3"/>
    <w:rsid w:val="001E7739"/>
    <w:rsid w:val="001F3DB4"/>
    <w:rsid w:val="00204F40"/>
    <w:rsid w:val="00205DEF"/>
    <w:rsid w:val="00216C8A"/>
    <w:rsid w:val="00226317"/>
    <w:rsid w:val="00231539"/>
    <w:rsid w:val="002523E3"/>
    <w:rsid w:val="0026327F"/>
    <w:rsid w:val="00266FA5"/>
    <w:rsid w:val="002920F4"/>
    <w:rsid w:val="002940F3"/>
    <w:rsid w:val="00295842"/>
    <w:rsid w:val="002B3574"/>
    <w:rsid w:val="002B6B74"/>
    <w:rsid w:val="002C6AE7"/>
    <w:rsid w:val="002D0682"/>
    <w:rsid w:val="002D2D4B"/>
    <w:rsid w:val="002D3805"/>
    <w:rsid w:val="002E66AE"/>
    <w:rsid w:val="002E7763"/>
    <w:rsid w:val="002F5842"/>
    <w:rsid w:val="00306CB7"/>
    <w:rsid w:val="003111F5"/>
    <w:rsid w:val="0031417D"/>
    <w:rsid w:val="00325E1F"/>
    <w:rsid w:val="00333056"/>
    <w:rsid w:val="00336200"/>
    <w:rsid w:val="00337418"/>
    <w:rsid w:val="003442C2"/>
    <w:rsid w:val="00351D83"/>
    <w:rsid w:val="00353E46"/>
    <w:rsid w:val="003576C4"/>
    <w:rsid w:val="00366AB0"/>
    <w:rsid w:val="0037437C"/>
    <w:rsid w:val="00380C89"/>
    <w:rsid w:val="0038146B"/>
    <w:rsid w:val="0038340F"/>
    <w:rsid w:val="00384457"/>
    <w:rsid w:val="00384F24"/>
    <w:rsid w:val="003A32B2"/>
    <w:rsid w:val="003A47DD"/>
    <w:rsid w:val="003A634F"/>
    <w:rsid w:val="003B588A"/>
    <w:rsid w:val="003B621D"/>
    <w:rsid w:val="003B674E"/>
    <w:rsid w:val="003C4388"/>
    <w:rsid w:val="003C4C27"/>
    <w:rsid w:val="003C7F7B"/>
    <w:rsid w:val="003D2EAA"/>
    <w:rsid w:val="003E018E"/>
    <w:rsid w:val="003E054C"/>
    <w:rsid w:val="003E27A0"/>
    <w:rsid w:val="003E2BE7"/>
    <w:rsid w:val="003E3872"/>
    <w:rsid w:val="0040111E"/>
    <w:rsid w:val="004044AA"/>
    <w:rsid w:val="004044C8"/>
    <w:rsid w:val="00404F3F"/>
    <w:rsid w:val="00410B5D"/>
    <w:rsid w:val="00413BEC"/>
    <w:rsid w:val="0042265E"/>
    <w:rsid w:val="00424ED7"/>
    <w:rsid w:val="00425258"/>
    <w:rsid w:val="00426217"/>
    <w:rsid w:val="00431A80"/>
    <w:rsid w:val="00435A89"/>
    <w:rsid w:val="00452267"/>
    <w:rsid w:val="00453307"/>
    <w:rsid w:val="00453FD8"/>
    <w:rsid w:val="00457E36"/>
    <w:rsid w:val="00457EE8"/>
    <w:rsid w:val="00462F8F"/>
    <w:rsid w:val="00481D56"/>
    <w:rsid w:val="00490408"/>
    <w:rsid w:val="004A4C45"/>
    <w:rsid w:val="004A4DA8"/>
    <w:rsid w:val="004B0485"/>
    <w:rsid w:val="004B428E"/>
    <w:rsid w:val="004B4D37"/>
    <w:rsid w:val="004C25EB"/>
    <w:rsid w:val="004C42F0"/>
    <w:rsid w:val="004E0B88"/>
    <w:rsid w:val="004E1D73"/>
    <w:rsid w:val="0051286E"/>
    <w:rsid w:val="00516021"/>
    <w:rsid w:val="00516457"/>
    <w:rsid w:val="00520A0C"/>
    <w:rsid w:val="005275FF"/>
    <w:rsid w:val="00530E37"/>
    <w:rsid w:val="005464A1"/>
    <w:rsid w:val="00546F12"/>
    <w:rsid w:val="00546FB3"/>
    <w:rsid w:val="0055339C"/>
    <w:rsid w:val="00562B3C"/>
    <w:rsid w:val="00564E40"/>
    <w:rsid w:val="005750E2"/>
    <w:rsid w:val="0058313F"/>
    <w:rsid w:val="00585859"/>
    <w:rsid w:val="00586FBC"/>
    <w:rsid w:val="005879C9"/>
    <w:rsid w:val="005A3C6B"/>
    <w:rsid w:val="005B1EA5"/>
    <w:rsid w:val="005D3F41"/>
    <w:rsid w:val="005D7176"/>
    <w:rsid w:val="005E1F24"/>
    <w:rsid w:val="005E73F1"/>
    <w:rsid w:val="005F07EF"/>
    <w:rsid w:val="00600B2E"/>
    <w:rsid w:val="00607CEB"/>
    <w:rsid w:val="00613299"/>
    <w:rsid w:val="0061762D"/>
    <w:rsid w:val="00634238"/>
    <w:rsid w:val="00635FBC"/>
    <w:rsid w:val="00637728"/>
    <w:rsid w:val="0064113A"/>
    <w:rsid w:val="00642310"/>
    <w:rsid w:val="00644002"/>
    <w:rsid w:val="006458B1"/>
    <w:rsid w:val="00650529"/>
    <w:rsid w:val="00650BAB"/>
    <w:rsid w:val="00651737"/>
    <w:rsid w:val="006530B7"/>
    <w:rsid w:val="006671BF"/>
    <w:rsid w:val="00672A7D"/>
    <w:rsid w:val="00681416"/>
    <w:rsid w:val="006A06F5"/>
    <w:rsid w:val="006A0ED2"/>
    <w:rsid w:val="006B0A73"/>
    <w:rsid w:val="006B5A6B"/>
    <w:rsid w:val="006C0F82"/>
    <w:rsid w:val="006C332E"/>
    <w:rsid w:val="006C5901"/>
    <w:rsid w:val="006D6372"/>
    <w:rsid w:val="006D6E5C"/>
    <w:rsid w:val="006E02AF"/>
    <w:rsid w:val="006E0786"/>
    <w:rsid w:val="006E2504"/>
    <w:rsid w:val="006E6B4A"/>
    <w:rsid w:val="006E7449"/>
    <w:rsid w:val="006E7FB1"/>
    <w:rsid w:val="006F2604"/>
    <w:rsid w:val="006F5319"/>
    <w:rsid w:val="006F55FD"/>
    <w:rsid w:val="006F5D21"/>
    <w:rsid w:val="00711BE3"/>
    <w:rsid w:val="00724FA7"/>
    <w:rsid w:val="00725415"/>
    <w:rsid w:val="00726E27"/>
    <w:rsid w:val="00727505"/>
    <w:rsid w:val="00731581"/>
    <w:rsid w:val="00741B9E"/>
    <w:rsid w:val="00743DAC"/>
    <w:rsid w:val="00752B7F"/>
    <w:rsid w:val="0075337B"/>
    <w:rsid w:val="00755CD4"/>
    <w:rsid w:val="00757F96"/>
    <w:rsid w:val="00784392"/>
    <w:rsid w:val="00785285"/>
    <w:rsid w:val="0078529D"/>
    <w:rsid w:val="00787DC1"/>
    <w:rsid w:val="00794070"/>
    <w:rsid w:val="007A713B"/>
    <w:rsid w:val="007B0D38"/>
    <w:rsid w:val="007B64E5"/>
    <w:rsid w:val="007C2F04"/>
    <w:rsid w:val="007D6195"/>
    <w:rsid w:val="007F5B8B"/>
    <w:rsid w:val="00817E9A"/>
    <w:rsid w:val="00830D57"/>
    <w:rsid w:val="00840881"/>
    <w:rsid w:val="00845A3A"/>
    <w:rsid w:val="00860B07"/>
    <w:rsid w:val="008616F6"/>
    <w:rsid w:val="0086259C"/>
    <w:rsid w:val="00867C6C"/>
    <w:rsid w:val="00882239"/>
    <w:rsid w:val="00883F24"/>
    <w:rsid w:val="00897E1F"/>
    <w:rsid w:val="008B2CB4"/>
    <w:rsid w:val="008B2F51"/>
    <w:rsid w:val="008B6404"/>
    <w:rsid w:val="008C2C21"/>
    <w:rsid w:val="008C7DD3"/>
    <w:rsid w:val="008E000B"/>
    <w:rsid w:val="008E2926"/>
    <w:rsid w:val="008E35C6"/>
    <w:rsid w:val="008E3F49"/>
    <w:rsid w:val="008F1880"/>
    <w:rsid w:val="008F243B"/>
    <w:rsid w:val="008F4675"/>
    <w:rsid w:val="00904497"/>
    <w:rsid w:val="00904A66"/>
    <w:rsid w:val="0092287F"/>
    <w:rsid w:val="0092495B"/>
    <w:rsid w:val="0092660E"/>
    <w:rsid w:val="00936519"/>
    <w:rsid w:val="00941D3C"/>
    <w:rsid w:val="00941DA3"/>
    <w:rsid w:val="00942B90"/>
    <w:rsid w:val="00942C0C"/>
    <w:rsid w:val="00946D35"/>
    <w:rsid w:val="009539E3"/>
    <w:rsid w:val="00954A5E"/>
    <w:rsid w:val="009551B2"/>
    <w:rsid w:val="00964625"/>
    <w:rsid w:val="00965DA8"/>
    <w:rsid w:val="0096740A"/>
    <w:rsid w:val="009812EE"/>
    <w:rsid w:val="00981C1D"/>
    <w:rsid w:val="0099109C"/>
    <w:rsid w:val="009936DB"/>
    <w:rsid w:val="00993CFC"/>
    <w:rsid w:val="009A1DC2"/>
    <w:rsid w:val="009C0914"/>
    <w:rsid w:val="009C27E5"/>
    <w:rsid w:val="009D0063"/>
    <w:rsid w:val="009D71E8"/>
    <w:rsid w:val="009E104B"/>
    <w:rsid w:val="009E7DE4"/>
    <w:rsid w:val="009F3BBD"/>
    <w:rsid w:val="00A063DD"/>
    <w:rsid w:val="00A112B5"/>
    <w:rsid w:val="00A14EEA"/>
    <w:rsid w:val="00A44FBB"/>
    <w:rsid w:val="00A50104"/>
    <w:rsid w:val="00A508EA"/>
    <w:rsid w:val="00A522E0"/>
    <w:rsid w:val="00A63579"/>
    <w:rsid w:val="00A638AC"/>
    <w:rsid w:val="00A727E5"/>
    <w:rsid w:val="00A748B5"/>
    <w:rsid w:val="00A80A32"/>
    <w:rsid w:val="00A82A98"/>
    <w:rsid w:val="00A82D16"/>
    <w:rsid w:val="00A95F75"/>
    <w:rsid w:val="00A96B83"/>
    <w:rsid w:val="00AA355B"/>
    <w:rsid w:val="00AA42E5"/>
    <w:rsid w:val="00AB24FA"/>
    <w:rsid w:val="00AD1C32"/>
    <w:rsid w:val="00AD7B5A"/>
    <w:rsid w:val="00AE229F"/>
    <w:rsid w:val="00AE28DF"/>
    <w:rsid w:val="00AF5E20"/>
    <w:rsid w:val="00B002FA"/>
    <w:rsid w:val="00B00327"/>
    <w:rsid w:val="00B024B3"/>
    <w:rsid w:val="00B11DE8"/>
    <w:rsid w:val="00B179ED"/>
    <w:rsid w:val="00B20E18"/>
    <w:rsid w:val="00B246B9"/>
    <w:rsid w:val="00B4160D"/>
    <w:rsid w:val="00B572C4"/>
    <w:rsid w:val="00B60858"/>
    <w:rsid w:val="00B74D4E"/>
    <w:rsid w:val="00B80219"/>
    <w:rsid w:val="00B808E2"/>
    <w:rsid w:val="00BA19A5"/>
    <w:rsid w:val="00BB088E"/>
    <w:rsid w:val="00BC67F6"/>
    <w:rsid w:val="00BD2004"/>
    <w:rsid w:val="00BD4B12"/>
    <w:rsid w:val="00BE09D2"/>
    <w:rsid w:val="00BE1578"/>
    <w:rsid w:val="00BE2F92"/>
    <w:rsid w:val="00BF0D5F"/>
    <w:rsid w:val="00C11EB4"/>
    <w:rsid w:val="00C12746"/>
    <w:rsid w:val="00C21D0A"/>
    <w:rsid w:val="00C25827"/>
    <w:rsid w:val="00C31BB8"/>
    <w:rsid w:val="00C373EA"/>
    <w:rsid w:val="00C5261C"/>
    <w:rsid w:val="00C52AE1"/>
    <w:rsid w:val="00C621C1"/>
    <w:rsid w:val="00C62989"/>
    <w:rsid w:val="00C65CBB"/>
    <w:rsid w:val="00C80F37"/>
    <w:rsid w:val="00C97A7F"/>
    <w:rsid w:val="00CB5B17"/>
    <w:rsid w:val="00CC4443"/>
    <w:rsid w:val="00CC5CAF"/>
    <w:rsid w:val="00D06874"/>
    <w:rsid w:val="00D173F7"/>
    <w:rsid w:val="00D20203"/>
    <w:rsid w:val="00D204E0"/>
    <w:rsid w:val="00D21354"/>
    <w:rsid w:val="00D22400"/>
    <w:rsid w:val="00D278BA"/>
    <w:rsid w:val="00D33FE5"/>
    <w:rsid w:val="00D34890"/>
    <w:rsid w:val="00D3578A"/>
    <w:rsid w:val="00D4463C"/>
    <w:rsid w:val="00D501EE"/>
    <w:rsid w:val="00D517DC"/>
    <w:rsid w:val="00D529D2"/>
    <w:rsid w:val="00D544AC"/>
    <w:rsid w:val="00D5590D"/>
    <w:rsid w:val="00D618E4"/>
    <w:rsid w:val="00D61DA5"/>
    <w:rsid w:val="00D875ED"/>
    <w:rsid w:val="00D877D0"/>
    <w:rsid w:val="00D90013"/>
    <w:rsid w:val="00D91B9C"/>
    <w:rsid w:val="00D92C1B"/>
    <w:rsid w:val="00D94CC7"/>
    <w:rsid w:val="00D95A70"/>
    <w:rsid w:val="00DA1AF4"/>
    <w:rsid w:val="00DB0C60"/>
    <w:rsid w:val="00DC641A"/>
    <w:rsid w:val="00DD6B7D"/>
    <w:rsid w:val="00DD6E14"/>
    <w:rsid w:val="00DE15AC"/>
    <w:rsid w:val="00E061EC"/>
    <w:rsid w:val="00E13E51"/>
    <w:rsid w:val="00E310DB"/>
    <w:rsid w:val="00E43E93"/>
    <w:rsid w:val="00E43EAD"/>
    <w:rsid w:val="00E51CD8"/>
    <w:rsid w:val="00E57879"/>
    <w:rsid w:val="00E62DCB"/>
    <w:rsid w:val="00E651DD"/>
    <w:rsid w:val="00E66558"/>
    <w:rsid w:val="00E70D81"/>
    <w:rsid w:val="00E726A6"/>
    <w:rsid w:val="00E83BFE"/>
    <w:rsid w:val="00E86F05"/>
    <w:rsid w:val="00E96D15"/>
    <w:rsid w:val="00EA3A2A"/>
    <w:rsid w:val="00EB4556"/>
    <w:rsid w:val="00EB64C8"/>
    <w:rsid w:val="00ED5108"/>
    <w:rsid w:val="00F012CA"/>
    <w:rsid w:val="00F01752"/>
    <w:rsid w:val="00F0355A"/>
    <w:rsid w:val="00F07B71"/>
    <w:rsid w:val="00F24A7E"/>
    <w:rsid w:val="00F270CC"/>
    <w:rsid w:val="00F33DC0"/>
    <w:rsid w:val="00F62587"/>
    <w:rsid w:val="00F63E9E"/>
    <w:rsid w:val="00F76578"/>
    <w:rsid w:val="00F76843"/>
    <w:rsid w:val="00F776E1"/>
    <w:rsid w:val="00F925EB"/>
    <w:rsid w:val="00F96A9C"/>
    <w:rsid w:val="00FA6DD0"/>
    <w:rsid w:val="00FC28DF"/>
    <w:rsid w:val="00FE3136"/>
    <w:rsid w:val="00FE50A3"/>
    <w:rsid w:val="00FF369D"/>
    <w:rsid w:val="00FF6C57"/>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2D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upil-premium" TargetMode="External"/><Relationship Id="rId18" Type="http://schemas.openxmlformats.org/officeDocument/2006/relationships/hyperlink" Target="https://educationendowmentfoundation.org.uk/" TargetMode="External"/><Relationship Id="rId26" Type="http://schemas.openxmlformats.org/officeDocument/2006/relationships/hyperlink" Target="https://educationendowmentfoundation.org.uk/education-evidence/teaching-learning-toolkit/one-to-one-tuition" TargetMode="External"/><Relationship Id="rId39" Type="http://schemas.openxmlformats.org/officeDocument/2006/relationships/header" Target="header1.xml"/><Relationship Id="rId21" Type="http://schemas.openxmlformats.org/officeDocument/2006/relationships/hyperlink" Target="https://educationendowmentfoundation.org.uk/guidance-for-teachers/assessment-feedback" TargetMode="External"/><Relationship Id="rId34" Type="http://schemas.openxmlformats.org/officeDocument/2006/relationships/hyperlink" Target="https://educationendowmentfoundation.org.uk/education-evidence/teaching-learning-toolkit/metacognition-and-self-regulation"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publications/initial-teacher-training-criteria" TargetMode="External"/><Relationship Id="rId20" Type="http://schemas.openxmlformats.org/officeDocument/2006/relationships/hyperlink" Target="https://educationendowmentfoundation.org.uk/" TargetMode="External"/><Relationship Id="rId29" Type="http://schemas.openxmlformats.org/officeDocument/2006/relationships/hyperlink" Target="https://fft.org.uk/tutor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upil-premium" TargetMode="External"/><Relationship Id="rId24" Type="http://schemas.openxmlformats.org/officeDocument/2006/relationships/hyperlink" Target="https://educationhub.blog.gov.uk/2022/01/11/how-the-national-tutoring-programme-is-helping-young-people-catch-up-on-education-they-missed-because-of-covid-19/" TargetMode="External"/><Relationship Id="rId32" Type="http://schemas.openxmlformats.org/officeDocument/2006/relationships/hyperlink" Target="https://educationendowmentfoundation.org.uk/education-evidence/teaching-learning-toolkit/mentoring" TargetMode="External"/><Relationship Id="rId37" Type="http://schemas.openxmlformats.org/officeDocument/2006/relationships/hyperlink" Target="https://educationendowmentfoundation.org.uk/education-evidence/teaching-learning-toolkit/parental-engagement"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publications/teachers-standards" TargetMode="External"/><Relationship Id="rId23" Type="http://schemas.openxmlformats.org/officeDocument/2006/relationships/hyperlink" Target="https://educationendowmentfoundation.org.uk/education-evidence/teaching-learning-toolkit/small-group-tuition" TargetMode="External"/><Relationship Id="rId28" Type="http://schemas.openxmlformats.org/officeDocument/2006/relationships/hyperlink" Target="https://educationendowmentfoundation.org.uk/public/files" TargetMode="External"/><Relationship Id="rId36" Type="http://schemas.openxmlformats.org/officeDocument/2006/relationships/hyperlink" Target="https://educationendowmentfoundation.org.uk/education-evidence/teaching-learning-toolkit/social-and-emotional-learning" TargetMode="External"/><Relationship Id="rId10" Type="http://schemas.openxmlformats.org/officeDocument/2006/relationships/hyperlink" Target="https://educationendowmentfoundation.org.uk/guidance-for-teachers/using-pupil-premium" TargetMode="External"/><Relationship Id="rId19" Type="http://schemas.openxmlformats.org/officeDocument/2006/relationships/hyperlink" Target="https://assets.website-files.com/5ee28729f7b4a5fa99bef2b3/5ee9f507021911" TargetMode="External"/><Relationship Id="rId31" Type="http://schemas.openxmlformats.org/officeDocument/2006/relationships/hyperlink" Target="https://educationendowmentfoundation.org.uk/education-evidence/teaching-learning-toolkit/oral-language-interven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arly-career-framework" TargetMode="External"/><Relationship Id="rId22" Type="http://schemas.openxmlformats.org/officeDocument/2006/relationships/hyperlink" Target="https://educationendowmentfoundation.org.uk/education-evidence/teaching-learning-toolkit/parental-engagement" TargetMode="External"/><Relationship Id="rId27" Type="http://schemas.openxmlformats.org/officeDocument/2006/relationships/hyperlink" Target="https://educationendowmentfoundation.org.uk/education-evidence/teaching-learning-toolkit/phonics" TargetMode="External"/><Relationship Id="rId30" Type="http://schemas.openxmlformats.org/officeDocument/2006/relationships/hyperlink" Target="https://speechandlanguage.info/infant" TargetMode="External"/><Relationship Id="rId35" Type="http://schemas.openxmlformats.org/officeDocument/2006/relationships/hyperlink" Target="https://educationendowmentfoundation.org.uk/public/file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ducationendowmentfoundation.org.uk/guidance-for-teachers/using-pupil-premium" TargetMode="External"/><Relationship Id="rId17" Type="http://schemas.openxmlformats.org/officeDocument/2006/relationships/hyperlink" Target="https://www.ucl.ac.uk/ioe/departments-and-centres/departments/learning-and-leadership/early-career-framework" TargetMode="External"/><Relationship Id="rId25" Type="http://schemas.openxmlformats.org/officeDocument/2006/relationships/hyperlink" Target="https://educationendowmentfoundation.org.uk/education-evidence/teaching-learning-toolkit/small-group-tuition" TargetMode="External"/><Relationship Id="rId33" Type="http://schemas.openxmlformats.org/officeDocument/2006/relationships/hyperlink" Target="https://www.zonesofregulation.com/research--evidence-base.html" TargetMode="External"/><Relationship Id="rId38" Type="http://schemas.openxmlformats.org/officeDocument/2006/relationships/hyperlink" Target="https://educationendowmentfoundation.org.uk/education-evidence/teaching-learning-toolkit/aspiration-inter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DCC6977C139943AC01A04DEC38C997" ma:contentTypeVersion="13" ma:contentTypeDescription="Create a new document." ma:contentTypeScope="" ma:versionID="5450e243374e9811fe7a3a128df15ed3">
  <xsd:schema xmlns:xsd="http://www.w3.org/2001/XMLSchema" xmlns:xs="http://www.w3.org/2001/XMLSchema" xmlns:p="http://schemas.microsoft.com/office/2006/metadata/properties" xmlns:ns2="26832d2a-e864-4d3d-b5b3-de358b546380" xmlns:ns3="15eeb848-b20e-433b-9cef-e74d891e5bec" targetNamespace="http://schemas.microsoft.com/office/2006/metadata/properties" ma:root="true" ma:fieldsID="984a68e73d2cf0b60da6cdc9baa5f872" ns2:_="" ns3:_="">
    <xsd:import namespace="26832d2a-e864-4d3d-b5b3-de358b546380"/>
    <xsd:import namespace="15eeb848-b20e-433b-9cef-e74d891e5b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32d2a-e864-4d3d-b5b3-de358b546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48d8dd6-0deb-4728-a8da-43df0647e0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eeb848-b20e-433b-9cef-e74d891e5be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909c74-91bc-44d6-9704-b7ac336ad1cd}" ma:internalName="TaxCatchAll" ma:showField="CatchAllData" ma:web="15eeb848-b20e-433b-9cef-e74d891e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AEE02-E9A8-474B-B562-349C21DBF4BB}">
  <ds:schemaRefs>
    <ds:schemaRef ds:uri="http://schemas.microsoft.com/sharepoint/v3/contenttype/forms"/>
  </ds:schemaRefs>
</ds:datastoreItem>
</file>

<file path=customXml/itemProps2.xml><?xml version="1.0" encoding="utf-8"?>
<ds:datastoreItem xmlns:ds="http://schemas.openxmlformats.org/officeDocument/2006/customXml" ds:itemID="{E14725B4-65FF-4A2A-BF40-7D6C89CE38C9}"/>
</file>

<file path=customXml/itemProps3.xml><?xml version="1.0" encoding="utf-8"?>
<ds:datastoreItem xmlns:ds="http://schemas.openxmlformats.org/officeDocument/2006/customXml" ds:itemID="{5F234FBB-40BC-4074-9218-4D89E8C74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15</Pages>
  <Words>4073</Words>
  <Characters>23219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Helen Slater</cp:lastModifiedBy>
  <cp:revision>31</cp:revision>
  <cp:lastPrinted>2014-09-17T21:26:00Z</cp:lastPrinted>
  <dcterms:created xsi:type="dcterms:W3CDTF">2022-11-15T10:18:00Z</dcterms:created>
  <dcterms:modified xsi:type="dcterms:W3CDTF">2023-03-13T08:23:00Z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