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9FE6" w14:textId="16F2A5B6" w:rsidR="005C39B5" w:rsidRPr="00AF492D" w:rsidRDefault="004D4175" w:rsidP="00245A13">
      <w:pPr>
        <w:rPr>
          <w:rFonts w:ascii="Arial" w:hAnsi="Arial" w:cs="Arial"/>
          <w:b/>
        </w:rPr>
      </w:pPr>
      <w:r w:rsidRPr="00AF492D">
        <w:rPr>
          <w:rFonts w:ascii="Arial" w:hAnsi="Arial" w:cs="Arial"/>
          <w:b/>
        </w:rPr>
        <w:tab/>
      </w:r>
      <w:r w:rsidRPr="00AF492D">
        <w:rPr>
          <w:rFonts w:ascii="Arial" w:hAnsi="Arial" w:cs="Arial"/>
          <w:b/>
        </w:rPr>
        <w:tab/>
      </w:r>
      <w:r w:rsidRPr="00AF492D">
        <w:rPr>
          <w:rFonts w:ascii="Arial" w:hAnsi="Arial" w:cs="Arial"/>
          <w:b/>
        </w:rPr>
        <w:tab/>
      </w:r>
    </w:p>
    <w:p w14:paraId="7AB12A69" w14:textId="03DACF41" w:rsidR="00AF492D" w:rsidRPr="00AF492D" w:rsidRDefault="00372F50" w:rsidP="002315EB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BE0EC85" wp14:editId="5A518150">
            <wp:extent cx="1771650" cy="1066800"/>
            <wp:effectExtent l="0" t="0" r="0" b="0"/>
            <wp:docPr id="293419275" name="Picture 1" descr="A logo with birds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birds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5EB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</w:p>
    <w:p w14:paraId="27D59792" w14:textId="77777777" w:rsidR="0043737E" w:rsidRDefault="0043737E" w:rsidP="00245A13">
      <w:pPr>
        <w:rPr>
          <w:rFonts w:ascii="Arial" w:hAnsi="Arial" w:cs="Arial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51"/>
        <w:gridCol w:w="8534"/>
      </w:tblGrid>
      <w:tr w:rsidR="0043737E" w14:paraId="7F369648" w14:textId="77777777" w:rsidTr="002315EB">
        <w:tc>
          <w:tcPr>
            <w:tcW w:w="10485" w:type="dxa"/>
            <w:gridSpan w:val="2"/>
          </w:tcPr>
          <w:p w14:paraId="006EDC48" w14:textId="10DDA021" w:rsidR="00283058" w:rsidRDefault="0043737E" w:rsidP="004373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Governance </w:t>
            </w:r>
            <w:r w:rsidR="00AF492D">
              <w:rPr>
                <w:rFonts w:ascii="Arial" w:hAnsi="Arial" w:cs="Arial"/>
                <w:b/>
              </w:rPr>
              <w:t>Statement for the Governing Board</w:t>
            </w:r>
            <w:r>
              <w:rPr>
                <w:rFonts w:ascii="Arial" w:hAnsi="Arial" w:cs="Arial"/>
                <w:b/>
              </w:rPr>
              <w:t xml:space="preserve"> of</w:t>
            </w:r>
            <w:r w:rsidR="0086540C">
              <w:rPr>
                <w:rFonts w:ascii="Arial" w:hAnsi="Arial" w:cs="Arial"/>
                <w:b/>
              </w:rPr>
              <w:t xml:space="preserve"> </w:t>
            </w:r>
          </w:p>
          <w:p w14:paraId="5A5D61C5" w14:textId="6C65C5EE" w:rsidR="00AF492D" w:rsidRDefault="002315EB" w:rsidP="0043737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Wyborne</w:t>
            </w:r>
            <w:proofErr w:type="spellEnd"/>
            <w:r>
              <w:rPr>
                <w:rFonts w:ascii="Arial" w:hAnsi="Arial" w:cs="Arial"/>
                <w:b/>
              </w:rPr>
              <w:t xml:space="preserve"> P</w:t>
            </w:r>
            <w:r w:rsidR="00C37A36">
              <w:rPr>
                <w:rFonts w:ascii="Arial" w:hAnsi="Arial" w:cs="Arial"/>
                <w:b/>
              </w:rPr>
              <w:t xml:space="preserve">rimary </w:t>
            </w:r>
            <w:r w:rsidR="00283058">
              <w:rPr>
                <w:rFonts w:ascii="Arial" w:hAnsi="Arial" w:cs="Arial"/>
                <w:b/>
              </w:rPr>
              <w:t>School</w:t>
            </w:r>
            <w:r w:rsidR="0043737E">
              <w:rPr>
                <w:rFonts w:ascii="Arial" w:hAnsi="Arial" w:cs="Arial"/>
                <w:b/>
              </w:rPr>
              <w:t xml:space="preserve"> </w:t>
            </w:r>
          </w:p>
          <w:p w14:paraId="2756AEA2" w14:textId="797BEC56" w:rsidR="0043737E" w:rsidRDefault="0043737E" w:rsidP="004373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2315EB">
              <w:rPr>
                <w:rFonts w:ascii="Arial" w:hAnsi="Arial" w:cs="Arial"/>
                <w:b/>
              </w:rPr>
              <w:t>2</w:t>
            </w:r>
            <w:r w:rsidR="00427FAA">
              <w:rPr>
                <w:rFonts w:ascii="Arial" w:hAnsi="Arial" w:cs="Arial"/>
                <w:b/>
              </w:rPr>
              <w:t>4</w:t>
            </w:r>
            <w:r w:rsidR="00C37A36">
              <w:rPr>
                <w:rFonts w:ascii="Arial" w:hAnsi="Arial" w:cs="Arial"/>
                <w:b/>
              </w:rPr>
              <w:t>-</w:t>
            </w:r>
            <w:r w:rsidR="002315EB">
              <w:rPr>
                <w:rFonts w:ascii="Arial" w:hAnsi="Arial" w:cs="Arial"/>
                <w:b/>
              </w:rPr>
              <w:t>2</w:t>
            </w:r>
            <w:r w:rsidR="00427FAA">
              <w:rPr>
                <w:rFonts w:ascii="Arial" w:hAnsi="Arial" w:cs="Arial"/>
                <w:b/>
              </w:rPr>
              <w:t>5</w:t>
            </w:r>
          </w:p>
          <w:p w14:paraId="2250576C" w14:textId="77777777" w:rsidR="0043737E" w:rsidRDefault="0043737E" w:rsidP="0043737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3737E" w14:paraId="4342627B" w14:textId="77777777" w:rsidTr="002315EB">
        <w:tc>
          <w:tcPr>
            <w:tcW w:w="10485" w:type="dxa"/>
            <w:gridSpan w:val="2"/>
          </w:tcPr>
          <w:p w14:paraId="7ED735BF" w14:textId="77777777" w:rsidR="00D4347A" w:rsidRDefault="00D4347A" w:rsidP="0043737E">
            <w:pPr>
              <w:rPr>
                <w:rFonts w:ascii="Arial" w:hAnsi="Arial" w:cs="Arial"/>
              </w:rPr>
            </w:pPr>
          </w:p>
          <w:p w14:paraId="31EE5840" w14:textId="394C7815" w:rsidR="0043737E" w:rsidRDefault="00D4347A" w:rsidP="00437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AF492D">
              <w:rPr>
                <w:rFonts w:ascii="Arial" w:hAnsi="Arial" w:cs="Arial"/>
              </w:rPr>
              <w:t xml:space="preserve">he Governing Board of </w:t>
            </w:r>
            <w:proofErr w:type="spellStart"/>
            <w:r w:rsidR="0042717E">
              <w:rPr>
                <w:rFonts w:ascii="Arial" w:hAnsi="Arial" w:cs="Arial"/>
              </w:rPr>
              <w:t>Wyborne</w:t>
            </w:r>
            <w:proofErr w:type="spellEnd"/>
            <w:r w:rsidR="0042717E">
              <w:rPr>
                <w:rFonts w:ascii="Arial" w:hAnsi="Arial" w:cs="Arial"/>
              </w:rPr>
              <w:t xml:space="preserve"> P</w:t>
            </w:r>
            <w:r w:rsidR="00CD6C27">
              <w:rPr>
                <w:rFonts w:ascii="Arial" w:hAnsi="Arial" w:cs="Arial"/>
              </w:rPr>
              <w:t>rimary</w:t>
            </w:r>
            <w:r w:rsidR="0043737E">
              <w:rPr>
                <w:rFonts w:ascii="Arial" w:hAnsi="Arial" w:cs="Arial"/>
              </w:rPr>
              <w:t xml:space="preserve"> School has a strong focus on the three core strategic functions:</w:t>
            </w:r>
          </w:p>
          <w:p w14:paraId="177D8709" w14:textId="77777777" w:rsidR="0043737E" w:rsidRDefault="0043737E" w:rsidP="0043737E">
            <w:pPr>
              <w:rPr>
                <w:rFonts w:ascii="Arial" w:hAnsi="Arial" w:cs="Arial"/>
              </w:rPr>
            </w:pPr>
          </w:p>
          <w:p w14:paraId="08CA90D9" w14:textId="2E22C39F" w:rsidR="0043737E" w:rsidRPr="00F54E68" w:rsidRDefault="0043737E" w:rsidP="00F54E6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54E68">
              <w:rPr>
                <w:rFonts w:ascii="Arial" w:hAnsi="Arial" w:cs="Arial"/>
              </w:rPr>
              <w:t xml:space="preserve">Ensuring clarity of vision, ethos and strategic </w:t>
            </w:r>
            <w:proofErr w:type="gramStart"/>
            <w:r w:rsidRPr="00F54E68">
              <w:rPr>
                <w:rFonts w:ascii="Arial" w:hAnsi="Arial" w:cs="Arial"/>
              </w:rPr>
              <w:t>direction;</w:t>
            </w:r>
            <w:proofErr w:type="gramEnd"/>
          </w:p>
          <w:p w14:paraId="17369E8D" w14:textId="06B76D60" w:rsidR="0043737E" w:rsidRPr="00F54E68" w:rsidRDefault="0043737E" w:rsidP="00F54E6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54E68">
              <w:rPr>
                <w:rFonts w:ascii="Arial" w:hAnsi="Arial" w:cs="Arial"/>
              </w:rPr>
              <w:t xml:space="preserve">Holding the Headteacher to account for the educational performance of the school and its pupils and the performance management of </w:t>
            </w:r>
            <w:proofErr w:type="gramStart"/>
            <w:r w:rsidRPr="00F54E68">
              <w:rPr>
                <w:rFonts w:ascii="Arial" w:hAnsi="Arial" w:cs="Arial"/>
              </w:rPr>
              <w:t>staff;</w:t>
            </w:r>
            <w:proofErr w:type="gramEnd"/>
          </w:p>
          <w:p w14:paraId="6BB967F4" w14:textId="45EBC1B5" w:rsidR="0043737E" w:rsidRPr="00F54E68" w:rsidRDefault="0043737E" w:rsidP="00F54E6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54E68">
              <w:rPr>
                <w:rFonts w:ascii="Arial" w:hAnsi="Arial" w:cs="Arial"/>
              </w:rPr>
              <w:t>Overseeing the financial performance of the school and making sure its money is well spent.</w:t>
            </w:r>
          </w:p>
          <w:p w14:paraId="156E4B10" w14:textId="16676266" w:rsidR="0043737E" w:rsidRPr="0043737E" w:rsidRDefault="0043737E" w:rsidP="0043737E">
            <w:pPr>
              <w:rPr>
                <w:rFonts w:ascii="Arial" w:hAnsi="Arial" w:cs="Arial"/>
              </w:rPr>
            </w:pPr>
          </w:p>
        </w:tc>
      </w:tr>
      <w:tr w:rsidR="0043737E" w14:paraId="78FB609E" w14:textId="77777777" w:rsidTr="002315EB">
        <w:tc>
          <w:tcPr>
            <w:tcW w:w="1951" w:type="dxa"/>
          </w:tcPr>
          <w:p w14:paraId="64C8CEF7" w14:textId="24AFF04A" w:rsidR="0043737E" w:rsidRDefault="0043737E" w:rsidP="00245A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Governance Arrangements</w:t>
            </w:r>
          </w:p>
        </w:tc>
        <w:tc>
          <w:tcPr>
            <w:tcW w:w="8534" w:type="dxa"/>
          </w:tcPr>
          <w:p w14:paraId="3D565005" w14:textId="15329146" w:rsidR="0042717E" w:rsidRDefault="0043737E" w:rsidP="00437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full governing </w:t>
            </w:r>
            <w:r w:rsidR="00AF492D">
              <w:rPr>
                <w:rFonts w:ascii="Arial" w:hAnsi="Arial" w:cs="Arial"/>
              </w:rPr>
              <w:t>board</w:t>
            </w:r>
            <w:r>
              <w:rPr>
                <w:rFonts w:ascii="Arial" w:hAnsi="Arial" w:cs="Arial"/>
              </w:rPr>
              <w:t xml:space="preserve"> meets </w:t>
            </w:r>
            <w:r w:rsidR="0042717E">
              <w:rPr>
                <w:rFonts w:ascii="Arial" w:hAnsi="Arial" w:cs="Arial"/>
              </w:rPr>
              <w:t>twice</w:t>
            </w:r>
            <w:r>
              <w:rPr>
                <w:rFonts w:ascii="Arial" w:hAnsi="Arial" w:cs="Arial"/>
              </w:rPr>
              <w:t xml:space="preserve"> each term</w:t>
            </w:r>
            <w:r w:rsidR="00EA3016">
              <w:rPr>
                <w:rFonts w:ascii="Arial" w:hAnsi="Arial" w:cs="Arial"/>
              </w:rPr>
              <w:t xml:space="preserve"> </w:t>
            </w:r>
            <w:r w:rsidR="0042717E">
              <w:rPr>
                <w:rFonts w:ascii="Arial" w:hAnsi="Arial" w:cs="Arial"/>
              </w:rPr>
              <w:t xml:space="preserve">and utilises the Circle Model of governance. The Circle </w:t>
            </w:r>
            <w:r w:rsidR="00372F50">
              <w:rPr>
                <w:rFonts w:ascii="Arial" w:hAnsi="Arial" w:cs="Arial"/>
              </w:rPr>
              <w:t>M</w:t>
            </w:r>
            <w:r w:rsidR="0042717E">
              <w:rPr>
                <w:rFonts w:ascii="Arial" w:hAnsi="Arial" w:cs="Arial"/>
              </w:rPr>
              <w:t xml:space="preserve">odel means that we do not operate separate committees for Finance and Premises, and instead the governors responsible for those areas </w:t>
            </w:r>
            <w:r w:rsidR="000E663B">
              <w:rPr>
                <w:rFonts w:ascii="Arial" w:hAnsi="Arial" w:cs="Arial"/>
              </w:rPr>
              <w:t>report back to the full governing b</w:t>
            </w:r>
            <w:r w:rsidR="00EA3016">
              <w:rPr>
                <w:rFonts w:ascii="Arial" w:hAnsi="Arial" w:cs="Arial"/>
              </w:rPr>
              <w:t>oard</w:t>
            </w:r>
            <w:r w:rsidR="000E663B">
              <w:rPr>
                <w:rFonts w:ascii="Arial" w:hAnsi="Arial" w:cs="Arial"/>
              </w:rPr>
              <w:t xml:space="preserve"> at each meeting. </w:t>
            </w:r>
            <w:r w:rsidR="00EA3016">
              <w:rPr>
                <w:rFonts w:ascii="Arial" w:hAnsi="Arial" w:cs="Arial"/>
              </w:rPr>
              <w:t>The benefit of this approach is that all governor</w:t>
            </w:r>
            <w:r w:rsidR="00372F50">
              <w:rPr>
                <w:rFonts w:ascii="Arial" w:hAnsi="Arial" w:cs="Arial"/>
              </w:rPr>
              <w:t>s</w:t>
            </w:r>
            <w:r w:rsidR="00EA3016">
              <w:rPr>
                <w:rFonts w:ascii="Arial" w:hAnsi="Arial" w:cs="Arial"/>
              </w:rPr>
              <w:t xml:space="preserve"> have oversight of all areas of governance at the school.</w:t>
            </w:r>
          </w:p>
          <w:p w14:paraId="5CA5D682" w14:textId="6123257F" w:rsidR="000E663B" w:rsidRDefault="000E663B" w:rsidP="0043737E">
            <w:pPr>
              <w:rPr>
                <w:rFonts w:ascii="Arial" w:hAnsi="Arial" w:cs="Arial"/>
              </w:rPr>
            </w:pPr>
          </w:p>
          <w:p w14:paraId="1C626509" w14:textId="5162D729" w:rsidR="000E663B" w:rsidRDefault="000E663B" w:rsidP="000E6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governing body receives a verbal update from the school leadership at the first meeting of a term, and a full written update from the school leadership at the second. The governing body also has a Pay Committee which meets annually and a Pay Appeals Committee which meets if required.</w:t>
            </w:r>
          </w:p>
          <w:p w14:paraId="57E53010" w14:textId="77777777" w:rsidR="000E663B" w:rsidRDefault="000E663B" w:rsidP="000E663B">
            <w:pPr>
              <w:rPr>
                <w:rFonts w:ascii="Arial" w:hAnsi="Arial" w:cs="Arial"/>
              </w:rPr>
            </w:pPr>
          </w:p>
          <w:p w14:paraId="3B49B79F" w14:textId="668AF8B2" w:rsidR="0043737E" w:rsidRDefault="0043737E" w:rsidP="00437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governing </w:t>
            </w:r>
            <w:r w:rsidR="00AF492D">
              <w:rPr>
                <w:rFonts w:ascii="Arial" w:hAnsi="Arial" w:cs="Arial"/>
              </w:rPr>
              <w:t>board</w:t>
            </w:r>
            <w:r>
              <w:rPr>
                <w:rFonts w:ascii="Arial" w:hAnsi="Arial" w:cs="Arial"/>
              </w:rPr>
              <w:t xml:space="preserve"> meetings are professionally clerked and agendas and approved minutes are kept in the school office.  Each committee has terms of reference.</w:t>
            </w:r>
          </w:p>
          <w:p w14:paraId="6B290D3A" w14:textId="77777777" w:rsidR="0043737E" w:rsidRDefault="0043737E" w:rsidP="0043737E">
            <w:pPr>
              <w:rPr>
                <w:rFonts w:ascii="Arial" w:hAnsi="Arial" w:cs="Arial"/>
              </w:rPr>
            </w:pPr>
          </w:p>
          <w:p w14:paraId="218F6C4C" w14:textId="2E003132" w:rsidR="0043737E" w:rsidRPr="00CD6C27" w:rsidRDefault="0043737E" w:rsidP="0045016F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t xml:space="preserve">Governors are also linked to areas or aspects of the school. Governors who visit the school provide a written report which is shared with the governing </w:t>
            </w:r>
            <w:r w:rsidR="00AF492D">
              <w:rPr>
                <w:rFonts w:ascii="Arial" w:hAnsi="Arial" w:cs="Arial"/>
              </w:rPr>
              <w:t>board</w:t>
            </w:r>
            <w:r>
              <w:rPr>
                <w:rFonts w:ascii="Arial" w:hAnsi="Arial" w:cs="Arial"/>
              </w:rPr>
              <w:t>.</w:t>
            </w:r>
            <w:r w:rsidR="0040586F">
              <w:rPr>
                <w:rFonts w:ascii="Arial" w:hAnsi="Arial" w:cs="Arial"/>
              </w:rPr>
              <w:t xml:space="preserve"> </w:t>
            </w:r>
          </w:p>
          <w:p w14:paraId="587AEEAD" w14:textId="77777777" w:rsidR="0043737E" w:rsidRDefault="0043737E" w:rsidP="0043737E">
            <w:pPr>
              <w:rPr>
                <w:rFonts w:ascii="Arial" w:hAnsi="Arial" w:cs="Arial"/>
              </w:rPr>
            </w:pPr>
          </w:p>
          <w:p w14:paraId="21EF028A" w14:textId="1A1E25BF" w:rsidR="0043737E" w:rsidRDefault="0043737E" w:rsidP="00437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list of governing </w:t>
            </w:r>
            <w:r w:rsidR="00AF492D">
              <w:rPr>
                <w:rFonts w:ascii="Arial" w:hAnsi="Arial" w:cs="Arial"/>
              </w:rPr>
              <w:t>board</w:t>
            </w:r>
            <w:r>
              <w:rPr>
                <w:rFonts w:ascii="Arial" w:hAnsi="Arial" w:cs="Arial"/>
              </w:rPr>
              <w:t xml:space="preserve"> members is available on the school website together with their individual responsibilities. Governors have a wide spread of knowledge and expertise and are part of the committees which utilise their skills.</w:t>
            </w:r>
          </w:p>
          <w:p w14:paraId="05C97370" w14:textId="77777777" w:rsidR="0043737E" w:rsidRDefault="0043737E" w:rsidP="0043737E">
            <w:pPr>
              <w:rPr>
                <w:rFonts w:ascii="Arial" w:hAnsi="Arial" w:cs="Arial"/>
              </w:rPr>
            </w:pPr>
          </w:p>
          <w:p w14:paraId="15CDFCC5" w14:textId="4188D0A8" w:rsidR="00885556" w:rsidRDefault="0043737E" w:rsidP="00437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Attendance at meetings is very good </w:t>
            </w:r>
            <w:r w:rsidR="00885556">
              <w:rPr>
                <w:rFonts w:ascii="Arial" w:hAnsi="Arial" w:cs="Arial"/>
              </w:rPr>
              <w:t xml:space="preserve">and an attendance grid is available on </w:t>
            </w:r>
            <w:r w:rsidR="0042717E">
              <w:rPr>
                <w:rFonts w:ascii="Arial" w:hAnsi="Arial" w:cs="Arial"/>
              </w:rPr>
              <w:t>request.</w:t>
            </w:r>
          </w:p>
          <w:p w14:paraId="06B8C21C" w14:textId="63A438C5" w:rsidR="0043737E" w:rsidRPr="0043737E" w:rsidRDefault="0043737E" w:rsidP="0043737E">
            <w:pPr>
              <w:rPr>
                <w:rFonts w:ascii="Arial" w:hAnsi="Arial" w:cs="Arial"/>
              </w:rPr>
            </w:pPr>
          </w:p>
        </w:tc>
      </w:tr>
      <w:tr w:rsidR="00885556" w14:paraId="723A40B6" w14:textId="77777777" w:rsidTr="002315EB">
        <w:tc>
          <w:tcPr>
            <w:tcW w:w="1951" w:type="dxa"/>
          </w:tcPr>
          <w:p w14:paraId="00B21940" w14:textId="2D807407" w:rsidR="00885556" w:rsidRDefault="00885556" w:rsidP="008654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 issues addressed by </w:t>
            </w:r>
            <w:r>
              <w:rPr>
                <w:rFonts w:ascii="Arial" w:hAnsi="Arial" w:cs="Arial"/>
                <w:b/>
              </w:rPr>
              <w:lastRenderedPageBreak/>
              <w:t xml:space="preserve">the governing </w:t>
            </w:r>
            <w:r w:rsidR="00AF492D">
              <w:rPr>
                <w:rFonts w:ascii="Arial" w:hAnsi="Arial" w:cs="Arial"/>
                <w:b/>
              </w:rPr>
              <w:t>board</w:t>
            </w:r>
            <w:r>
              <w:rPr>
                <w:rFonts w:ascii="Arial" w:hAnsi="Arial" w:cs="Arial"/>
                <w:b/>
              </w:rPr>
              <w:t xml:space="preserve"> 20</w:t>
            </w:r>
            <w:r w:rsidR="0042717E">
              <w:rPr>
                <w:rFonts w:ascii="Arial" w:hAnsi="Arial" w:cs="Arial"/>
                <w:b/>
              </w:rPr>
              <w:t>2</w:t>
            </w:r>
            <w:r w:rsidR="00372F50">
              <w:rPr>
                <w:rFonts w:ascii="Arial" w:hAnsi="Arial" w:cs="Arial"/>
                <w:b/>
              </w:rPr>
              <w:t>4</w:t>
            </w:r>
            <w:r w:rsidR="00CD6C27">
              <w:rPr>
                <w:rFonts w:ascii="Arial" w:hAnsi="Arial" w:cs="Arial"/>
                <w:b/>
              </w:rPr>
              <w:t>-</w:t>
            </w:r>
            <w:r w:rsidR="0042717E">
              <w:rPr>
                <w:rFonts w:ascii="Arial" w:hAnsi="Arial" w:cs="Arial"/>
                <w:b/>
              </w:rPr>
              <w:t>2</w:t>
            </w:r>
            <w:r w:rsidR="00372F5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4" w:type="dxa"/>
          </w:tcPr>
          <w:p w14:paraId="28209F03" w14:textId="0189ABF3" w:rsidR="00885556" w:rsidRDefault="00885556" w:rsidP="00245A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The governing </w:t>
            </w:r>
            <w:r w:rsidR="00AF492D">
              <w:rPr>
                <w:rFonts w:ascii="Arial" w:hAnsi="Arial" w:cs="Arial"/>
              </w:rPr>
              <w:t>board</w:t>
            </w:r>
            <w:r>
              <w:rPr>
                <w:rFonts w:ascii="Arial" w:hAnsi="Arial" w:cs="Arial"/>
              </w:rPr>
              <w:t xml:space="preserve"> has fulfilled its statutory duties in terms of monitoring all areas of the school’s work and offering support and challenge through the </w:t>
            </w:r>
            <w:r>
              <w:rPr>
                <w:rFonts w:ascii="Arial" w:hAnsi="Arial" w:cs="Arial"/>
              </w:rPr>
              <w:lastRenderedPageBreak/>
              <w:t xml:space="preserve">agreed agendas of each committee and the agendas of full governing </w:t>
            </w:r>
            <w:r w:rsidR="00AF492D">
              <w:rPr>
                <w:rFonts w:ascii="Arial" w:hAnsi="Arial" w:cs="Arial"/>
              </w:rPr>
              <w:t>board</w:t>
            </w:r>
            <w:r>
              <w:rPr>
                <w:rFonts w:ascii="Arial" w:hAnsi="Arial" w:cs="Arial"/>
              </w:rPr>
              <w:t xml:space="preserve"> meetings. Some of the areas covered this year:</w:t>
            </w:r>
          </w:p>
          <w:p w14:paraId="1ED9163F" w14:textId="77777777" w:rsidR="00885556" w:rsidRDefault="00885556" w:rsidP="00245A13">
            <w:pPr>
              <w:rPr>
                <w:rFonts w:ascii="Arial" w:hAnsi="Arial" w:cs="Arial"/>
              </w:rPr>
            </w:pPr>
          </w:p>
          <w:p w14:paraId="04645F77" w14:textId="5D2D96C3" w:rsidR="00427FAA" w:rsidRPr="00427FAA" w:rsidRDefault="00427FAA" w:rsidP="00427F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27FAA">
              <w:rPr>
                <w:rFonts w:ascii="Arial" w:hAnsi="Arial" w:cs="Arial"/>
                <w:b/>
                <w:bCs/>
              </w:rPr>
              <w:t>Policy oversight.</w:t>
            </w:r>
            <w:r w:rsidRPr="00427FAA">
              <w:rPr>
                <w:rFonts w:ascii="Arial" w:hAnsi="Arial" w:cs="Arial"/>
              </w:rPr>
              <w:t xml:space="preserve"> Adopted the revised Greenwich Complaints Policy; approved the Attendance Policy (LA model) and the new Governor Visits Policy; scheduled additional policy reviews (e.g., First Aid, Pay). </w:t>
            </w:r>
          </w:p>
          <w:p w14:paraId="19AF0D82" w14:textId="00A9FD31" w:rsidR="00427FAA" w:rsidRPr="00427FAA" w:rsidRDefault="00427FAA" w:rsidP="00427F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27FAA">
              <w:rPr>
                <w:rFonts w:ascii="Arial" w:hAnsi="Arial" w:cs="Arial"/>
                <w:b/>
                <w:bCs/>
              </w:rPr>
              <w:t>Safeguarding.</w:t>
            </w:r>
            <w:r w:rsidRPr="00427FAA">
              <w:rPr>
                <w:rFonts w:ascii="Arial" w:hAnsi="Arial" w:cs="Arial"/>
              </w:rPr>
              <w:t xml:space="preserve"> Received routine safeguarding updates; monitored referrals/</w:t>
            </w:r>
            <w:proofErr w:type="spellStart"/>
            <w:r w:rsidRPr="00427FAA">
              <w:rPr>
                <w:rFonts w:ascii="Arial" w:hAnsi="Arial" w:cs="Arial"/>
              </w:rPr>
              <w:t>CiOC</w:t>
            </w:r>
            <w:proofErr w:type="spellEnd"/>
            <w:r w:rsidRPr="00427FAA">
              <w:rPr>
                <w:rFonts w:ascii="Arial" w:hAnsi="Arial" w:cs="Arial"/>
              </w:rPr>
              <w:t xml:space="preserve"> cases; confirmed the Single Central Register check; considered pupil safety procedures (e.g., lockdown signals and approaches). </w:t>
            </w:r>
          </w:p>
          <w:p w14:paraId="6BA5ED52" w14:textId="7A627465" w:rsidR="00427FAA" w:rsidRPr="00427FAA" w:rsidRDefault="00427FAA" w:rsidP="00427F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27FAA">
              <w:rPr>
                <w:rFonts w:ascii="Arial" w:hAnsi="Arial" w:cs="Arial"/>
                <w:b/>
                <w:bCs/>
              </w:rPr>
              <w:t>School improvement &amp; LASMM.</w:t>
            </w:r>
            <w:r w:rsidRPr="00427FAA">
              <w:rPr>
                <w:rFonts w:ascii="Arial" w:hAnsi="Arial" w:cs="Arial"/>
              </w:rPr>
              <w:t xml:space="preserve"> Scrutinised mock SATs and prediction data; supported targeted interventions (e.g., maths streaming, focused groups); brokered collaboration with </w:t>
            </w:r>
            <w:proofErr w:type="spellStart"/>
            <w:r w:rsidRPr="00427FAA">
              <w:rPr>
                <w:rFonts w:ascii="Arial" w:hAnsi="Arial" w:cs="Arial"/>
              </w:rPr>
              <w:t>Fossdene</w:t>
            </w:r>
            <w:proofErr w:type="spellEnd"/>
            <w:r w:rsidRPr="00427FAA">
              <w:rPr>
                <w:rFonts w:ascii="Arial" w:hAnsi="Arial" w:cs="Arial"/>
              </w:rPr>
              <w:t xml:space="preserve"> and other schools; received positive IP/SIO visit feedback; tracked oracy, assessment and reporting developments. </w:t>
            </w:r>
          </w:p>
          <w:p w14:paraId="578E4C5D" w14:textId="02C47A95" w:rsidR="00427FAA" w:rsidRPr="00427FAA" w:rsidRDefault="00427FAA" w:rsidP="00427F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27FAA">
              <w:rPr>
                <w:rFonts w:ascii="Arial" w:hAnsi="Arial" w:cs="Arial"/>
                <w:b/>
                <w:bCs/>
              </w:rPr>
              <w:t>Curriculum &amp; pedagogy.</w:t>
            </w:r>
            <w:r w:rsidRPr="00427FAA">
              <w:rPr>
                <w:rFonts w:ascii="Arial" w:hAnsi="Arial" w:cs="Arial"/>
              </w:rPr>
              <w:t xml:space="preserve"> Monitored the shift toward enquiry/project-based learning (Atelier 21; Glow); reviewed White Rose Maths adoption and resourcing; noted Shakespeare study plans and oracy as a whole-school priority. </w:t>
            </w:r>
          </w:p>
          <w:p w14:paraId="09146315" w14:textId="5BC6A96F" w:rsidR="00427FAA" w:rsidRPr="00427FAA" w:rsidRDefault="00427FAA" w:rsidP="00427F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27FAA">
              <w:rPr>
                <w:rFonts w:ascii="Arial" w:hAnsi="Arial" w:cs="Arial"/>
                <w:b/>
                <w:bCs/>
              </w:rPr>
              <w:t>Inclusion &amp; SEND.</w:t>
            </w:r>
            <w:r w:rsidRPr="00427FAA">
              <w:rPr>
                <w:rFonts w:ascii="Arial" w:hAnsi="Arial" w:cs="Arial"/>
              </w:rPr>
              <w:t xml:space="preserve"> </w:t>
            </w:r>
            <w:r w:rsidR="00372F50">
              <w:rPr>
                <w:rFonts w:ascii="Arial" w:hAnsi="Arial" w:cs="Arial"/>
              </w:rPr>
              <w:t>M</w:t>
            </w:r>
            <w:r w:rsidRPr="00427FAA">
              <w:rPr>
                <w:rFonts w:ascii="Arial" w:hAnsi="Arial" w:cs="Arial"/>
              </w:rPr>
              <w:t xml:space="preserve">onitored equity work and persistent absence (EBSA) responses; celebrated shortlisting for TES Inclusion School of the Year. </w:t>
            </w:r>
          </w:p>
          <w:p w14:paraId="6E29C131" w14:textId="1866EBFC" w:rsidR="00427FAA" w:rsidRPr="00427FAA" w:rsidRDefault="00427FAA" w:rsidP="00427F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27FAA">
              <w:rPr>
                <w:rFonts w:ascii="Arial" w:hAnsi="Arial" w:cs="Arial"/>
                <w:b/>
                <w:bCs/>
              </w:rPr>
              <w:t>Pupil outcomes.</w:t>
            </w:r>
            <w:r w:rsidRPr="00427FAA">
              <w:rPr>
                <w:rFonts w:ascii="Arial" w:hAnsi="Arial" w:cs="Arial"/>
              </w:rPr>
              <w:t xml:space="preserve"> Reviewed detailed assessment trends, including stronger-than-predicted mock outcomes in reading and maths; maintained oversight of Year 6 readiness and extension to Year 5 groupings. </w:t>
            </w:r>
          </w:p>
          <w:p w14:paraId="52E56737" w14:textId="71B3581D" w:rsidR="00427FAA" w:rsidRPr="00427FAA" w:rsidRDefault="00427FAA" w:rsidP="00427F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27FAA">
              <w:rPr>
                <w:rFonts w:ascii="Arial" w:hAnsi="Arial" w:cs="Arial"/>
                <w:b/>
                <w:bCs/>
              </w:rPr>
              <w:t>Finance &amp; value for money.</w:t>
            </w:r>
            <w:r w:rsidRPr="00427FAA">
              <w:rPr>
                <w:rFonts w:ascii="Arial" w:hAnsi="Arial" w:cs="Arial"/>
              </w:rPr>
              <w:t xml:space="preserve"> Noted a successful finance audit; completed SFVS; monitored variances (e.g., staffing/supply costs); agreed 2025–26 budget and savings plan; reviewed grants/top-ups and nursery charging approach. </w:t>
            </w:r>
          </w:p>
          <w:p w14:paraId="45B590E8" w14:textId="13518D71" w:rsidR="00427FAA" w:rsidRPr="00427FAA" w:rsidRDefault="00427FAA" w:rsidP="00427F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27FAA">
              <w:rPr>
                <w:rFonts w:ascii="Arial" w:hAnsi="Arial" w:cs="Arial"/>
                <w:b/>
                <w:bCs/>
              </w:rPr>
              <w:t>IT &amp; digital infrastructure.</w:t>
            </w:r>
            <w:r w:rsidRPr="00427FAA">
              <w:rPr>
                <w:rFonts w:ascii="Arial" w:hAnsi="Arial" w:cs="Arial"/>
              </w:rPr>
              <w:t xml:space="preserve"> Oversaw Windows 11/ hardware refresh planning; sought multiple quotes and warranty assurances; agreed provider approach while probing lease terms and potential LA funding. </w:t>
            </w:r>
          </w:p>
          <w:p w14:paraId="6184EBA5" w14:textId="0980D866" w:rsidR="00427FAA" w:rsidRPr="00427FAA" w:rsidRDefault="00427FAA" w:rsidP="00427F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27FAA">
              <w:rPr>
                <w:rFonts w:ascii="Arial" w:hAnsi="Arial" w:cs="Arial"/>
                <w:b/>
                <w:bCs/>
              </w:rPr>
              <w:t>Banking &amp; cash management.</w:t>
            </w:r>
            <w:r w:rsidRPr="00427FAA">
              <w:rPr>
                <w:rFonts w:ascii="Arial" w:hAnsi="Arial" w:cs="Arial"/>
              </w:rPr>
              <w:t xml:space="preserve"> Approved moving surplus funds into interest-bearing accounts while maintaining liquidity and monitoring reconciliations. </w:t>
            </w:r>
          </w:p>
          <w:p w14:paraId="43511134" w14:textId="25FCA22A" w:rsidR="00427FAA" w:rsidRPr="00427FAA" w:rsidRDefault="00427FAA" w:rsidP="00427F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27FAA">
              <w:rPr>
                <w:rFonts w:ascii="Arial" w:hAnsi="Arial" w:cs="Arial"/>
                <w:b/>
                <w:bCs/>
              </w:rPr>
              <w:t>Premises &amp; health/safety.</w:t>
            </w:r>
            <w:r w:rsidRPr="00427FAA">
              <w:rPr>
                <w:rFonts w:ascii="Arial" w:hAnsi="Arial" w:cs="Arial"/>
              </w:rPr>
              <w:t xml:space="preserve"> Commissioned Reception refurbishment (AKRK) to align with Year 1 provision; tracked classroom improvements and flood/repair issues; monitored gate/intercom security and School Streets progress. </w:t>
            </w:r>
          </w:p>
          <w:p w14:paraId="180DBFD3" w14:textId="452787F1" w:rsidR="00427FAA" w:rsidRPr="00427FAA" w:rsidRDefault="00427FAA" w:rsidP="00427F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27FAA">
              <w:rPr>
                <w:rFonts w:ascii="Arial" w:hAnsi="Arial" w:cs="Arial"/>
                <w:b/>
                <w:bCs/>
              </w:rPr>
              <w:t>Staffing &amp; wellbeing.</w:t>
            </w:r>
            <w:r w:rsidRPr="00427FAA">
              <w:rPr>
                <w:rFonts w:ascii="Arial" w:hAnsi="Arial" w:cs="Arial"/>
              </w:rPr>
              <w:t xml:space="preserve"> Received regular staffing updates (retirements, maternity, apprentices, TA recruitment); discussed phase leadership changes and staff workload/retention in upper KS2. </w:t>
            </w:r>
          </w:p>
          <w:p w14:paraId="6284C383" w14:textId="5DC54163" w:rsidR="00427FAA" w:rsidRPr="00427FAA" w:rsidRDefault="00427FAA" w:rsidP="00427F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27FAA">
              <w:rPr>
                <w:rFonts w:ascii="Arial" w:hAnsi="Arial" w:cs="Arial"/>
                <w:b/>
                <w:bCs/>
              </w:rPr>
              <w:t>Community, culture &amp; enrichment.</w:t>
            </w:r>
            <w:r w:rsidRPr="00427FAA">
              <w:rPr>
                <w:rFonts w:ascii="Arial" w:hAnsi="Arial" w:cs="Arial"/>
              </w:rPr>
              <w:t xml:space="preserve"> Celebrated the Lion King project and school production; tracked branding/uniform pilots; noted sports day learning and wider communications/celebration of success (Rethinking Schools). </w:t>
            </w:r>
          </w:p>
          <w:p w14:paraId="1A4D6BD5" w14:textId="79290578" w:rsidR="00427FAA" w:rsidRPr="00427FAA" w:rsidRDefault="00427FAA" w:rsidP="00427FA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27FAA">
              <w:rPr>
                <w:rFonts w:ascii="Arial" w:hAnsi="Arial" w:cs="Arial"/>
                <w:b/>
                <w:bCs/>
              </w:rPr>
              <w:t>Governor engagement.</w:t>
            </w:r>
            <w:r w:rsidRPr="00427FAA">
              <w:rPr>
                <w:rFonts w:ascii="Arial" w:hAnsi="Arial" w:cs="Arial"/>
              </w:rPr>
              <w:t xml:space="preserve"> Scheduled themed visits (e.g., SEND; pupil progress); encouraged reporting to inform challenge/support cycles.</w:t>
            </w:r>
          </w:p>
          <w:p w14:paraId="4B7F6B0A" w14:textId="5AA9BA62" w:rsidR="00885556" w:rsidRPr="00885556" w:rsidRDefault="00885556" w:rsidP="00231365">
            <w:pPr>
              <w:pStyle w:val="ListParagraph"/>
              <w:ind w:left="360"/>
              <w:rPr>
                <w:rFonts w:ascii="Arial" w:hAnsi="Arial" w:cs="Arial"/>
              </w:rPr>
            </w:pPr>
            <w:r w:rsidRPr="00885556">
              <w:rPr>
                <w:rFonts w:ascii="Arial" w:hAnsi="Arial" w:cs="Arial"/>
              </w:rPr>
              <w:t xml:space="preserve"> </w:t>
            </w:r>
          </w:p>
        </w:tc>
      </w:tr>
      <w:tr w:rsidR="00885556" w14:paraId="75DEFD4C" w14:textId="77777777" w:rsidTr="002315EB">
        <w:tc>
          <w:tcPr>
            <w:tcW w:w="1951" w:type="dxa"/>
          </w:tcPr>
          <w:p w14:paraId="1D416022" w14:textId="4F7E8B6B" w:rsidR="00885556" w:rsidRDefault="00885556" w:rsidP="00245A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Assessment of Impact</w:t>
            </w:r>
          </w:p>
        </w:tc>
        <w:tc>
          <w:tcPr>
            <w:tcW w:w="8534" w:type="dxa"/>
          </w:tcPr>
          <w:p w14:paraId="3062F1C7" w14:textId="77777777" w:rsidR="00283058" w:rsidRDefault="00885556" w:rsidP="00277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Governors provide a high level of challenge </w:t>
            </w:r>
            <w:r w:rsidR="00841231">
              <w:rPr>
                <w:rFonts w:ascii="Arial" w:hAnsi="Arial" w:cs="Arial"/>
              </w:rPr>
              <w:t>to the H</w:t>
            </w:r>
            <w:r>
              <w:rPr>
                <w:rFonts w:ascii="Arial" w:hAnsi="Arial" w:cs="Arial"/>
              </w:rPr>
              <w:t>ead</w:t>
            </w:r>
            <w:r w:rsidR="00841231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 xml:space="preserve">eacher and the school.  They consider a range of documents and data provided by the school </w:t>
            </w:r>
            <w:proofErr w:type="gramStart"/>
            <w:r>
              <w:rPr>
                <w:rFonts w:ascii="Arial" w:hAnsi="Arial" w:cs="Arial"/>
              </w:rPr>
              <w:t>in order to</w:t>
            </w:r>
            <w:proofErr w:type="gramEnd"/>
            <w:r>
              <w:rPr>
                <w:rFonts w:ascii="Arial" w:hAnsi="Arial" w:cs="Arial"/>
              </w:rPr>
              <w:t xml:space="preserve"> judge the impact of strategies within the school.  </w:t>
            </w:r>
          </w:p>
          <w:p w14:paraId="244146DC" w14:textId="77777777" w:rsidR="00283058" w:rsidRDefault="00283058" w:rsidP="0027745F">
            <w:pPr>
              <w:rPr>
                <w:rFonts w:ascii="Arial" w:hAnsi="Arial" w:cs="Arial"/>
              </w:rPr>
            </w:pPr>
          </w:p>
          <w:p w14:paraId="77DCB360" w14:textId="4EFDE4BB" w:rsidR="0027745F" w:rsidRDefault="00885556" w:rsidP="00277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Governors</w:t>
            </w:r>
            <w:r w:rsidR="0027745F">
              <w:rPr>
                <w:rFonts w:ascii="Arial" w:hAnsi="Arial" w:cs="Arial"/>
              </w:rPr>
              <w:t xml:space="preserve"> also visit the school to meet with staff to gain </w:t>
            </w:r>
            <w:r w:rsidR="00841231">
              <w:rPr>
                <w:rFonts w:ascii="Arial" w:hAnsi="Arial" w:cs="Arial"/>
              </w:rPr>
              <w:t>a greater understanding of the school and the on</w:t>
            </w:r>
            <w:r w:rsidR="00B868C6">
              <w:rPr>
                <w:rFonts w:ascii="Arial" w:hAnsi="Arial" w:cs="Arial"/>
              </w:rPr>
              <w:t>-</w:t>
            </w:r>
            <w:r w:rsidR="00841231">
              <w:rPr>
                <w:rFonts w:ascii="Arial" w:hAnsi="Arial" w:cs="Arial"/>
              </w:rPr>
              <w:t xml:space="preserve">going </w:t>
            </w:r>
            <w:r w:rsidR="00781F96">
              <w:rPr>
                <w:rFonts w:ascii="Arial" w:hAnsi="Arial" w:cs="Arial"/>
              </w:rPr>
              <w:t>requirement to</w:t>
            </w:r>
            <w:r w:rsidR="00841231">
              <w:rPr>
                <w:rFonts w:ascii="Arial" w:hAnsi="Arial" w:cs="Arial"/>
              </w:rPr>
              <w:t xml:space="preserve"> rais</w:t>
            </w:r>
            <w:r w:rsidR="00781F96">
              <w:rPr>
                <w:rFonts w:ascii="Arial" w:hAnsi="Arial" w:cs="Arial"/>
              </w:rPr>
              <w:t>e</w:t>
            </w:r>
            <w:r w:rsidR="00841231">
              <w:rPr>
                <w:rFonts w:ascii="Arial" w:hAnsi="Arial" w:cs="Arial"/>
              </w:rPr>
              <w:t xml:space="preserve"> standards</w:t>
            </w:r>
            <w:r w:rsidR="0027745F">
              <w:rPr>
                <w:rFonts w:ascii="Arial" w:hAnsi="Arial" w:cs="Arial"/>
              </w:rPr>
              <w:t xml:space="preserve">. </w:t>
            </w:r>
          </w:p>
          <w:p w14:paraId="1BEE0C91" w14:textId="77777777" w:rsidR="0027745F" w:rsidRDefault="0027745F" w:rsidP="0027745F">
            <w:pPr>
              <w:rPr>
                <w:rFonts w:ascii="Arial" w:hAnsi="Arial" w:cs="Arial"/>
              </w:rPr>
            </w:pPr>
          </w:p>
          <w:p w14:paraId="4C7EDEAD" w14:textId="77777777" w:rsidR="0027745F" w:rsidRDefault="0027745F" w:rsidP="00277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Governors monitor finance stringently to ensure the school’s budget is spent to achieve the best possible outcomes for students.</w:t>
            </w:r>
          </w:p>
          <w:p w14:paraId="7011CC7E" w14:textId="599F0BB0" w:rsidR="00885556" w:rsidRDefault="0027745F" w:rsidP="00277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85556">
              <w:rPr>
                <w:rFonts w:ascii="Arial" w:hAnsi="Arial" w:cs="Arial"/>
              </w:rPr>
              <w:t xml:space="preserve"> </w:t>
            </w:r>
          </w:p>
        </w:tc>
      </w:tr>
      <w:tr w:rsidR="0027745F" w14:paraId="16EAB0D6" w14:textId="77777777" w:rsidTr="002315EB">
        <w:tc>
          <w:tcPr>
            <w:tcW w:w="1951" w:type="dxa"/>
          </w:tcPr>
          <w:p w14:paraId="65C5AA72" w14:textId="62C53FB8" w:rsidR="0027745F" w:rsidRDefault="0027745F" w:rsidP="0027745F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lastRenderedPageBreak/>
              <w:t>Future plans</w:t>
            </w:r>
            <w:proofErr w:type="gramEnd"/>
            <w:r>
              <w:rPr>
                <w:rFonts w:ascii="Arial" w:hAnsi="Arial" w:cs="Arial"/>
                <w:b/>
              </w:rPr>
              <w:t xml:space="preserve"> for the governing </w:t>
            </w:r>
            <w:r w:rsidR="00AF492D">
              <w:rPr>
                <w:rFonts w:ascii="Arial" w:hAnsi="Arial" w:cs="Arial"/>
                <w:b/>
              </w:rPr>
              <w:t>board</w:t>
            </w:r>
          </w:p>
        </w:tc>
        <w:tc>
          <w:tcPr>
            <w:tcW w:w="8534" w:type="dxa"/>
          </w:tcPr>
          <w:p w14:paraId="2E140A3B" w14:textId="7D3CAE4D" w:rsidR="0027745F" w:rsidRDefault="0027745F" w:rsidP="00277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governing </w:t>
            </w:r>
            <w:r w:rsidR="00AF492D">
              <w:rPr>
                <w:rFonts w:ascii="Arial" w:hAnsi="Arial" w:cs="Arial"/>
              </w:rPr>
              <w:t>board</w:t>
            </w:r>
            <w:r>
              <w:rPr>
                <w:rFonts w:ascii="Arial" w:hAnsi="Arial" w:cs="Arial"/>
              </w:rPr>
              <w:t xml:space="preserve"> will continue its work in line with the government agenda. </w:t>
            </w:r>
          </w:p>
          <w:p w14:paraId="1BF7AE0B" w14:textId="07DCAF65" w:rsidR="00231365" w:rsidRDefault="00231365" w:rsidP="0027745F">
            <w:pPr>
              <w:rPr>
                <w:rFonts w:ascii="Arial" w:hAnsi="Arial" w:cs="Arial"/>
              </w:rPr>
            </w:pPr>
          </w:p>
          <w:p w14:paraId="284140A3" w14:textId="35F2762F" w:rsidR="00EA3016" w:rsidRDefault="00372F50" w:rsidP="00277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Membership of the Governing Body has been stable, although we have lacked a Local Authority Governor. This has continued to be raised with the Local Authority, and we jointly aim to resolve this is the following year. </w:t>
            </w:r>
          </w:p>
          <w:p w14:paraId="6B28CA6D" w14:textId="77777777" w:rsidR="0027745F" w:rsidRDefault="0027745F" w:rsidP="00EA3016">
            <w:pPr>
              <w:rPr>
                <w:rFonts w:ascii="Arial" w:hAnsi="Arial" w:cs="Arial"/>
              </w:rPr>
            </w:pPr>
          </w:p>
        </w:tc>
      </w:tr>
      <w:tr w:rsidR="0027745F" w14:paraId="437BB7EE" w14:textId="77777777" w:rsidTr="002315EB">
        <w:tc>
          <w:tcPr>
            <w:tcW w:w="1951" w:type="dxa"/>
          </w:tcPr>
          <w:p w14:paraId="033DE81B" w14:textId="03993D9A" w:rsidR="0027745F" w:rsidRDefault="0027745F" w:rsidP="002774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8534" w:type="dxa"/>
          </w:tcPr>
          <w:p w14:paraId="78FE0110" w14:textId="5B2B1AB2" w:rsidR="0027745F" w:rsidRDefault="0027745F" w:rsidP="004058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governing </w:t>
            </w:r>
            <w:r w:rsidR="00AF492D">
              <w:rPr>
                <w:rFonts w:ascii="Arial" w:hAnsi="Arial" w:cs="Arial"/>
              </w:rPr>
              <w:t>board</w:t>
            </w:r>
            <w:r>
              <w:rPr>
                <w:rFonts w:ascii="Arial" w:hAnsi="Arial" w:cs="Arial"/>
              </w:rPr>
              <w:t xml:space="preserve"> welcomes suggestions, feedback and ideas from parents/carers.  Please contact </w:t>
            </w:r>
            <w:r w:rsidR="00F54E68">
              <w:rPr>
                <w:rFonts w:ascii="Arial" w:hAnsi="Arial" w:cs="Arial"/>
              </w:rPr>
              <w:t xml:space="preserve">the Chair of Governors c/o </w:t>
            </w:r>
            <w:r w:rsidR="00D4347A">
              <w:rPr>
                <w:rFonts w:ascii="Arial" w:hAnsi="Arial" w:cs="Arial"/>
              </w:rPr>
              <w:t>the</w:t>
            </w:r>
            <w:r w:rsidR="00686658">
              <w:rPr>
                <w:rFonts w:ascii="Arial" w:hAnsi="Arial" w:cs="Arial"/>
              </w:rPr>
              <w:t xml:space="preserve"> s</w:t>
            </w:r>
            <w:r w:rsidR="00F54E68">
              <w:rPr>
                <w:rFonts w:ascii="Arial" w:hAnsi="Arial" w:cs="Arial"/>
              </w:rPr>
              <w:t>chool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824901C" w14:textId="01E74F55" w:rsidR="0043737E" w:rsidRDefault="0043737E" w:rsidP="00245A13">
      <w:pPr>
        <w:rPr>
          <w:rFonts w:ascii="Arial" w:hAnsi="Arial" w:cs="Arial"/>
          <w:b/>
        </w:rPr>
      </w:pPr>
    </w:p>
    <w:sectPr w:rsidR="0043737E" w:rsidSect="006233C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E10E" w14:textId="77777777" w:rsidR="00594177" w:rsidRDefault="00594177" w:rsidP="009A3244">
      <w:r>
        <w:separator/>
      </w:r>
    </w:p>
  </w:endnote>
  <w:endnote w:type="continuationSeparator" w:id="0">
    <w:p w14:paraId="7409EBDF" w14:textId="77777777" w:rsidR="00594177" w:rsidRDefault="00594177" w:rsidP="009A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63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6B68C" w14:textId="4F5074ED" w:rsidR="00C61F43" w:rsidRDefault="00C61F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0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5FC71" w14:textId="77777777" w:rsidR="00C61F43" w:rsidRDefault="00C61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9605" w14:textId="77777777" w:rsidR="00594177" w:rsidRDefault="00594177" w:rsidP="009A3244">
      <w:r>
        <w:separator/>
      </w:r>
    </w:p>
  </w:footnote>
  <w:footnote w:type="continuationSeparator" w:id="0">
    <w:p w14:paraId="73BB25EA" w14:textId="77777777" w:rsidR="00594177" w:rsidRDefault="00594177" w:rsidP="009A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BDF"/>
    <w:multiLevelType w:val="hybridMultilevel"/>
    <w:tmpl w:val="77F8D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D1E21"/>
    <w:multiLevelType w:val="hybridMultilevel"/>
    <w:tmpl w:val="0E90E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E1230"/>
    <w:multiLevelType w:val="hybridMultilevel"/>
    <w:tmpl w:val="D922AC54"/>
    <w:lvl w:ilvl="0" w:tplc="08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" w15:restartNumberingAfterBreak="0">
    <w:nsid w:val="2DE563CE"/>
    <w:multiLevelType w:val="hybridMultilevel"/>
    <w:tmpl w:val="21EA9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4B2E4C"/>
    <w:multiLevelType w:val="hybridMultilevel"/>
    <w:tmpl w:val="A8682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C6846"/>
    <w:multiLevelType w:val="hybridMultilevel"/>
    <w:tmpl w:val="31F8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6090C"/>
    <w:multiLevelType w:val="hybridMultilevel"/>
    <w:tmpl w:val="9CA85C88"/>
    <w:lvl w:ilvl="0" w:tplc="08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7" w15:restartNumberingAfterBreak="0">
    <w:nsid w:val="664E0A94"/>
    <w:multiLevelType w:val="hybridMultilevel"/>
    <w:tmpl w:val="9AEAB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647700">
    <w:abstractNumId w:val="6"/>
  </w:num>
  <w:num w:numId="2" w16cid:durableId="1472795098">
    <w:abstractNumId w:val="4"/>
  </w:num>
  <w:num w:numId="3" w16cid:durableId="284506104">
    <w:abstractNumId w:val="2"/>
  </w:num>
  <w:num w:numId="4" w16cid:durableId="437793662">
    <w:abstractNumId w:val="3"/>
  </w:num>
  <w:num w:numId="5" w16cid:durableId="387343494">
    <w:abstractNumId w:val="1"/>
  </w:num>
  <w:num w:numId="6" w16cid:durableId="1387146365">
    <w:abstractNumId w:val="5"/>
  </w:num>
  <w:num w:numId="7" w16cid:durableId="1871449680">
    <w:abstractNumId w:val="7"/>
  </w:num>
  <w:num w:numId="8" w16cid:durableId="72025077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13"/>
    <w:rsid w:val="0000396F"/>
    <w:rsid w:val="00003E9C"/>
    <w:rsid w:val="00015F25"/>
    <w:rsid w:val="00041E36"/>
    <w:rsid w:val="0004742E"/>
    <w:rsid w:val="00050733"/>
    <w:rsid w:val="00060345"/>
    <w:rsid w:val="00061D90"/>
    <w:rsid w:val="00072265"/>
    <w:rsid w:val="00072A00"/>
    <w:rsid w:val="00072ABD"/>
    <w:rsid w:val="0007492D"/>
    <w:rsid w:val="000776B2"/>
    <w:rsid w:val="000776F7"/>
    <w:rsid w:val="00077A0E"/>
    <w:rsid w:val="00082B87"/>
    <w:rsid w:val="000A49E8"/>
    <w:rsid w:val="000B1C62"/>
    <w:rsid w:val="000C5605"/>
    <w:rsid w:val="000C7C0A"/>
    <w:rsid w:val="000D2A44"/>
    <w:rsid w:val="000E6554"/>
    <w:rsid w:val="000E663B"/>
    <w:rsid w:val="000F1021"/>
    <w:rsid w:val="001219BB"/>
    <w:rsid w:val="00122D2E"/>
    <w:rsid w:val="00127503"/>
    <w:rsid w:val="001369DC"/>
    <w:rsid w:val="00142112"/>
    <w:rsid w:val="00162CF7"/>
    <w:rsid w:val="00177A3E"/>
    <w:rsid w:val="001839EF"/>
    <w:rsid w:val="0019237A"/>
    <w:rsid w:val="00192EB5"/>
    <w:rsid w:val="00194F29"/>
    <w:rsid w:val="00195059"/>
    <w:rsid w:val="001A1EC8"/>
    <w:rsid w:val="001A4E92"/>
    <w:rsid w:val="001B18AD"/>
    <w:rsid w:val="001B3BBE"/>
    <w:rsid w:val="001E4059"/>
    <w:rsid w:val="001F32AD"/>
    <w:rsid w:val="001F4E47"/>
    <w:rsid w:val="00200C0C"/>
    <w:rsid w:val="002021F1"/>
    <w:rsid w:val="002038A7"/>
    <w:rsid w:val="00205948"/>
    <w:rsid w:val="00207511"/>
    <w:rsid w:val="00221F42"/>
    <w:rsid w:val="00227013"/>
    <w:rsid w:val="00231365"/>
    <w:rsid w:val="002315EB"/>
    <w:rsid w:val="00244132"/>
    <w:rsid w:val="00245752"/>
    <w:rsid w:val="00245A13"/>
    <w:rsid w:val="0024661C"/>
    <w:rsid w:val="002541E8"/>
    <w:rsid w:val="00260B6C"/>
    <w:rsid w:val="00265A5D"/>
    <w:rsid w:val="00270888"/>
    <w:rsid w:val="002716F0"/>
    <w:rsid w:val="00276EAA"/>
    <w:rsid w:val="0027745F"/>
    <w:rsid w:val="00283058"/>
    <w:rsid w:val="00292DB9"/>
    <w:rsid w:val="00293E6E"/>
    <w:rsid w:val="002A1CAD"/>
    <w:rsid w:val="002A1F4E"/>
    <w:rsid w:val="002B5D85"/>
    <w:rsid w:val="002C0951"/>
    <w:rsid w:val="002D311F"/>
    <w:rsid w:val="002E5312"/>
    <w:rsid w:val="00300200"/>
    <w:rsid w:val="003021F4"/>
    <w:rsid w:val="0031007B"/>
    <w:rsid w:val="00310C62"/>
    <w:rsid w:val="00313A90"/>
    <w:rsid w:val="00314A03"/>
    <w:rsid w:val="00314F31"/>
    <w:rsid w:val="00315449"/>
    <w:rsid w:val="003360DD"/>
    <w:rsid w:val="00337772"/>
    <w:rsid w:val="0034195C"/>
    <w:rsid w:val="00351096"/>
    <w:rsid w:val="00362E8F"/>
    <w:rsid w:val="003640EB"/>
    <w:rsid w:val="00372F50"/>
    <w:rsid w:val="003752C8"/>
    <w:rsid w:val="00386EF1"/>
    <w:rsid w:val="00395BC4"/>
    <w:rsid w:val="003B56C0"/>
    <w:rsid w:val="003C1B67"/>
    <w:rsid w:val="003C2E53"/>
    <w:rsid w:val="003D2D60"/>
    <w:rsid w:val="003E03F7"/>
    <w:rsid w:val="003E05AA"/>
    <w:rsid w:val="003E10E5"/>
    <w:rsid w:val="003E5AC0"/>
    <w:rsid w:val="0040126E"/>
    <w:rsid w:val="0040586F"/>
    <w:rsid w:val="00413C82"/>
    <w:rsid w:val="004172A5"/>
    <w:rsid w:val="0042314E"/>
    <w:rsid w:val="00424C9D"/>
    <w:rsid w:val="00426A17"/>
    <w:rsid w:val="0042717E"/>
    <w:rsid w:val="00427FAA"/>
    <w:rsid w:val="004318BC"/>
    <w:rsid w:val="00434ED0"/>
    <w:rsid w:val="00435C8D"/>
    <w:rsid w:val="0043737E"/>
    <w:rsid w:val="00440ADC"/>
    <w:rsid w:val="00447FF9"/>
    <w:rsid w:val="0045016F"/>
    <w:rsid w:val="00461A09"/>
    <w:rsid w:val="00462CC7"/>
    <w:rsid w:val="0046327A"/>
    <w:rsid w:val="00471EA4"/>
    <w:rsid w:val="00476A7F"/>
    <w:rsid w:val="004A3E62"/>
    <w:rsid w:val="004A4227"/>
    <w:rsid w:val="004B1FFD"/>
    <w:rsid w:val="004C11FB"/>
    <w:rsid w:val="004C275D"/>
    <w:rsid w:val="004C369D"/>
    <w:rsid w:val="004D0E54"/>
    <w:rsid w:val="004D38AE"/>
    <w:rsid w:val="004D4175"/>
    <w:rsid w:val="004E2622"/>
    <w:rsid w:val="004E7B8B"/>
    <w:rsid w:val="004F1B4D"/>
    <w:rsid w:val="004F2348"/>
    <w:rsid w:val="00502D08"/>
    <w:rsid w:val="00512712"/>
    <w:rsid w:val="005144A6"/>
    <w:rsid w:val="00521E14"/>
    <w:rsid w:val="00524DB3"/>
    <w:rsid w:val="00531D2F"/>
    <w:rsid w:val="00535F25"/>
    <w:rsid w:val="00552478"/>
    <w:rsid w:val="005536DB"/>
    <w:rsid w:val="00553E28"/>
    <w:rsid w:val="00561B48"/>
    <w:rsid w:val="00564B45"/>
    <w:rsid w:val="00567390"/>
    <w:rsid w:val="00571B77"/>
    <w:rsid w:val="005848A9"/>
    <w:rsid w:val="00585E8B"/>
    <w:rsid w:val="00586FFB"/>
    <w:rsid w:val="00594177"/>
    <w:rsid w:val="00594D84"/>
    <w:rsid w:val="005951D8"/>
    <w:rsid w:val="005955F1"/>
    <w:rsid w:val="005A0BB2"/>
    <w:rsid w:val="005B1FEE"/>
    <w:rsid w:val="005B2541"/>
    <w:rsid w:val="005C2E0B"/>
    <w:rsid w:val="005C39B5"/>
    <w:rsid w:val="005C608B"/>
    <w:rsid w:val="005D47ED"/>
    <w:rsid w:val="005E7BC6"/>
    <w:rsid w:val="005F549D"/>
    <w:rsid w:val="005F7CA5"/>
    <w:rsid w:val="00601EC0"/>
    <w:rsid w:val="00603ED5"/>
    <w:rsid w:val="00605F73"/>
    <w:rsid w:val="00613813"/>
    <w:rsid w:val="00615DBB"/>
    <w:rsid w:val="006168AE"/>
    <w:rsid w:val="00617293"/>
    <w:rsid w:val="00622848"/>
    <w:rsid w:val="006233CC"/>
    <w:rsid w:val="00624379"/>
    <w:rsid w:val="00625272"/>
    <w:rsid w:val="00626292"/>
    <w:rsid w:val="0063571B"/>
    <w:rsid w:val="006502B1"/>
    <w:rsid w:val="0065050B"/>
    <w:rsid w:val="00651EA1"/>
    <w:rsid w:val="0065466A"/>
    <w:rsid w:val="00657392"/>
    <w:rsid w:val="006575AB"/>
    <w:rsid w:val="0066126B"/>
    <w:rsid w:val="00663DB2"/>
    <w:rsid w:val="00685656"/>
    <w:rsid w:val="00686658"/>
    <w:rsid w:val="00690598"/>
    <w:rsid w:val="00691397"/>
    <w:rsid w:val="006A06CC"/>
    <w:rsid w:val="006A590E"/>
    <w:rsid w:val="006B23A5"/>
    <w:rsid w:val="006B6908"/>
    <w:rsid w:val="006C5E25"/>
    <w:rsid w:val="006C719B"/>
    <w:rsid w:val="006E3399"/>
    <w:rsid w:val="006F0313"/>
    <w:rsid w:val="006F1316"/>
    <w:rsid w:val="006F3DF9"/>
    <w:rsid w:val="006F46DF"/>
    <w:rsid w:val="006F5497"/>
    <w:rsid w:val="006F7352"/>
    <w:rsid w:val="007120D9"/>
    <w:rsid w:val="0071327D"/>
    <w:rsid w:val="00714324"/>
    <w:rsid w:val="00721D5A"/>
    <w:rsid w:val="0072345C"/>
    <w:rsid w:val="00727E10"/>
    <w:rsid w:val="00737140"/>
    <w:rsid w:val="00742C42"/>
    <w:rsid w:val="00743B14"/>
    <w:rsid w:val="00746AD1"/>
    <w:rsid w:val="007470B9"/>
    <w:rsid w:val="00754470"/>
    <w:rsid w:val="00760167"/>
    <w:rsid w:val="0077690E"/>
    <w:rsid w:val="0077750F"/>
    <w:rsid w:val="00781F96"/>
    <w:rsid w:val="00792E1E"/>
    <w:rsid w:val="007973B9"/>
    <w:rsid w:val="007A0D0B"/>
    <w:rsid w:val="007A723C"/>
    <w:rsid w:val="007B00AF"/>
    <w:rsid w:val="007C01FD"/>
    <w:rsid w:val="007D04F8"/>
    <w:rsid w:val="007D1AA4"/>
    <w:rsid w:val="007D7587"/>
    <w:rsid w:val="007E6DAC"/>
    <w:rsid w:val="007E6F9B"/>
    <w:rsid w:val="0080402B"/>
    <w:rsid w:val="00805462"/>
    <w:rsid w:val="00811AA8"/>
    <w:rsid w:val="00814208"/>
    <w:rsid w:val="0081723E"/>
    <w:rsid w:val="0083360C"/>
    <w:rsid w:val="00833BEC"/>
    <w:rsid w:val="00840A9D"/>
    <w:rsid w:val="00841231"/>
    <w:rsid w:val="0085438A"/>
    <w:rsid w:val="0086099D"/>
    <w:rsid w:val="00860ACD"/>
    <w:rsid w:val="00864266"/>
    <w:rsid w:val="0086540C"/>
    <w:rsid w:val="00871B61"/>
    <w:rsid w:val="00872C0A"/>
    <w:rsid w:val="00885556"/>
    <w:rsid w:val="00892530"/>
    <w:rsid w:val="00896A88"/>
    <w:rsid w:val="008A6A3F"/>
    <w:rsid w:val="008B2634"/>
    <w:rsid w:val="008B44B2"/>
    <w:rsid w:val="008B6D9B"/>
    <w:rsid w:val="008B7C67"/>
    <w:rsid w:val="008C17AA"/>
    <w:rsid w:val="008C3DB5"/>
    <w:rsid w:val="008C5213"/>
    <w:rsid w:val="008C6BCD"/>
    <w:rsid w:val="008D262C"/>
    <w:rsid w:val="008D2833"/>
    <w:rsid w:val="008D2E71"/>
    <w:rsid w:val="008D5B5F"/>
    <w:rsid w:val="008E502E"/>
    <w:rsid w:val="008E53D5"/>
    <w:rsid w:val="008E6595"/>
    <w:rsid w:val="008F2EE0"/>
    <w:rsid w:val="008F367A"/>
    <w:rsid w:val="009111ED"/>
    <w:rsid w:val="00912FEF"/>
    <w:rsid w:val="00913F27"/>
    <w:rsid w:val="009159D4"/>
    <w:rsid w:val="00935919"/>
    <w:rsid w:val="009377AF"/>
    <w:rsid w:val="00943845"/>
    <w:rsid w:val="009450D2"/>
    <w:rsid w:val="00946BCC"/>
    <w:rsid w:val="00952B52"/>
    <w:rsid w:val="00953950"/>
    <w:rsid w:val="009555F8"/>
    <w:rsid w:val="00957DF0"/>
    <w:rsid w:val="00974FDA"/>
    <w:rsid w:val="00980855"/>
    <w:rsid w:val="00984CB7"/>
    <w:rsid w:val="00987B12"/>
    <w:rsid w:val="00990330"/>
    <w:rsid w:val="009A3244"/>
    <w:rsid w:val="009B3A5A"/>
    <w:rsid w:val="009C7B68"/>
    <w:rsid w:val="009D199D"/>
    <w:rsid w:val="009D62FA"/>
    <w:rsid w:val="009F3337"/>
    <w:rsid w:val="009F627B"/>
    <w:rsid w:val="00A03218"/>
    <w:rsid w:val="00A073E8"/>
    <w:rsid w:val="00A32C0B"/>
    <w:rsid w:val="00A40585"/>
    <w:rsid w:val="00A41591"/>
    <w:rsid w:val="00A45FBA"/>
    <w:rsid w:val="00A50AE2"/>
    <w:rsid w:val="00A540B7"/>
    <w:rsid w:val="00A5464B"/>
    <w:rsid w:val="00A54969"/>
    <w:rsid w:val="00A56D75"/>
    <w:rsid w:val="00A65EC1"/>
    <w:rsid w:val="00A664EC"/>
    <w:rsid w:val="00A674A7"/>
    <w:rsid w:val="00A829B1"/>
    <w:rsid w:val="00A87595"/>
    <w:rsid w:val="00A87F7F"/>
    <w:rsid w:val="00A906FD"/>
    <w:rsid w:val="00A907CA"/>
    <w:rsid w:val="00AA4803"/>
    <w:rsid w:val="00AB443D"/>
    <w:rsid w:val="00AB55FF"/>
    <w:rsid w:val="00AB72DA"/>
    <w:rsid w:val="00AC18BA"/>
    <w:rsid w:val="00AC19BF"/>
    <w:rsid w:val="00AC419E"/>
    <w:rsid w:val="00AC538E"/>
    <w:rsid w:val="00AD501F"/>
    <w:rsid w:val="00AE05EB"/>
    <w:rsid w:val="00AE2627"/>
    <w:rsid w:val="00AE32E0"/>
    <w:rsid w:val="00AF101D"/>
    <w:rsid w:val="00AF1472"/>
    <w:rsid w:val="00AF492D"/>
    <w:rsid w:val="00B00FE9"/>
    <w:rsid w:val="00B017D9"/>
    <w:rsid w:val="00B0380A"/>
    <w:rsid w:val="00B05F9F"/>
    <w:rsid w:val="00B10329"/>
    <w:rsid w:val="00B13BB2"/>
    <w:rsid w:val="00B259DB"/>
    <w:rsid w:val="00B27D71"/>
    <w:rsid w:val="00B32686"/>
    <w:rsid w:val="00B32F49"/>
    <w:rsid w:val="00B33199"/>
    <w:rsid w:val="00B37F50"/>
    <w:rsid w:val="00B404BD"/>
    <w:rsid w:val="00B4068B"/>
    <w:rsid w:val="00B540C4"/>
    <w:rsid w:val="00B57230"/>
    <w:rsid w:val="00B605F9"/>
    <w:rsid w:val="00B67C46"/>
    <w:rsid w:val="00B70833"/>
    <w:rsid w:val="00B864D4"/>
    <w:rsid w:val="00B86820"/>
    <w:rsid w:val="00B868C6"/>
    <w:rsid w:val="00B952D5"/>
    <w:rsid w:val="00B976CC"/>
    <w:rsid w:val="00BA5190"/>
    <w:rsid w:val="00BB0207"/>
    <w:rsid w:val="00BB5267"/>
    <w:rsid w:val="00BB58A7"/>
    <w:rsid w:val="00BD6283"/>
    <w:rsid w:val="00BE1F7F"/>
    <w:rsid w:val="00BF1EE2"/>
    <w:rsid w:val="00C0221C"/>
    <w:rsid w:val="00C046EE"/>
    <w:rsid w:val="00C17E33"/>
    <w:rsid w:val="00C36B3A"/>
    <w:rsid w:val="00C37A36"/>
    <w:rsid w:val="00C37C6E"/>
    <w:rsid w:val="00C61F43"/>
    <w:rsid w:val="00C66078"/>
    <w:rsid w:val="00C66A51"/>
    <w:rsid w:val="00C73AE8"/>
    <w:rsid w:val="00C94892"/>
    <w:rsid w:val="00C949F5"/>
    <w:rsid w:val="00C95807"/>
    <w:rsid w:val="00C95DFC"/>
    <w:rsid w:val="00C971B7"/>
    <w:rsid w:val="00CA6D9C"/>
    <w:rsid w:val="00CA6E12"/>
    <w:rsid w:val="00CB0582"/>
    <w:rsid w:val="00CB182A"/>
    <w:rsid w:val="00CD00E2"/>
    <w:rsid w:val="00CD6C27"/>
    <w:rsid w:val="00CE149D"/>
    <w:rsid w:val="00CE1A53"/>
    <w:rsid w:val="00CE7C0D"/>
    <w:rsid w:val="00CF3FDF"/>
    <w:rsid w:val="00CF4234"/>
    <w:rsid w:val="00CF6505"/>
    <w:rsid w:val="00D004FB"/>
    <w:rsid w:val="00D118E0"/>
    <w:rsid w:val="00D1231E"/>
    <w:rsid w:val="00D15053"/>
    <w:rsid w:val="00D210B8"/>
    <w:rsid w:val="00D26439"/>
    <w:rsid w:val="00D30A44"/>
    <w:rsid w:val="00D30B97"/>
    <w:rsid w:val="00D32271"/>
    <w:rsid w:val="00D3625D"/>
    <w:rsid w:val="00D379F0"/>
    <w:rsid w:val="00D4347A"/>
    <w:rsid w:val="00D457EB"/>
    <w:rsid w:val="00D55147"/>
    <w:rsid w:val="00D578D8"/>
    <w:rsid w:val="00D63E40"/>
    <w:rsid w:val="00D65477"/>
    <w:rsid w:val="00D73015"/>
    <w:rsid w:val="00D81353"/>
    <w:rsid w:val="00D854EF"/>
    <w:rsid w:val="00D855B9"/>
    <w:rsid w:val="00D86608"/>
    <w:rsid w:val="00D901B3"/>
    <w:rsid w:val="00D934B3"/>
    <w:rsid w:val="00D948FA"/>
    <w:rsid w:val="00DA193F"/>
    <w:rsid w:val="00DA1FEE"/>
    <w:rsid w:val="00DB140F"/>
    <w:rsid w:val="00DD587F"/>
    <w:rsid w:val="00DD72E2"/>
    <w:rsid w:val="00DD7F7E"/>
    <w:rsid w:val="00DE36F8"/>
    <w:rsid w:val="00DF0A06"/>
    <w:rsid w:val="00DF4FFE"/>
    <w:rsid w:val="00E00296"/>
    <w:rsid w:val="00E00701"/>
    <w:rsid w:val="00E02942"/>
    <w:rsid w:val="00E02E71"/>
    <w:rsid w:val="00E06D2C"/>
    <w:rsid w:val="00E22717"/>
    <w:rsid w:val="00E24832"/>
    <w:rsid w:val="00E420A8"/>
    <w:rsid w:val="00E4617B"/>
    <w:rsid w:val="00E46B09"/>
    <w:rsid w:val="00E55F82"/>
    <w:rsid w:val="00E63241"/>
    <w:rsid w:val="00E70093"/>
    <w:rsid w:val="00E7257B"/>
    <w:rsid w:val="00E75A2C"/>
    <w:rsid w:val="00E86D56"/>
    <w:rsid w:val="00EA08A9"/>
    <w:rsid w:val="00EA3016"/>
    <w:rsid w:val="00EA7293"/>
    <w:rsid w:val="00EB156E"/>
    <w:rsid w:val="00EB16B5"/>
    <w:rsid w:val="00EB5B53"/>
    <w:rsid w:val="00EC15C2"/>
    <w:rsid w:val="00EC300C"/>
    <w:rsid w:val="00EF05B4"/>
    <w:rsid w:val="00F01CAA"/>
    <w:rsid w:val="00F10DFE"/>
    <w:rsid w:val="00F1240D"/>
    <w:rsid w:val="00F150F8"/>
    <w:rsid w:val="00F33619"/>
    <w:rsid w:val="00F400AC"/>
    <w:rsid w:val="00F41131"/>
    <w:rsid w:val="00F44AFA"/>
    <w:rsid w:val="00F50961"/>
    <w:rsid w:val="00F50A20"/>
    <w:rsid w:val="00F54E68"/>
    <w:rsid w:val="00F55FCA"/>
    <w:rsid w:val="00F57F32"/>
    <w:rsid w:val="00F72AC3"/>
    <w:rsid w:val="00F809A8"/>
    <w:rsid w:val="00F82DBA"/>
    <w:rsid w:val="00F85413"/>
    <w:rsid w:val="00FA22D0"/>
    <w:rsid w:val="00FA60E2"/>
    <w:rsid w:val="00FB44C6"/>
    <w:rsid w:val="00FB57CA"/>
    <w:rsid w:val="00FC21A7"/>
    <w:rsid w:val="00FC2666"/>
    <w:rsid w:val="00FC63A4"/>
    <w:rsid w:val="00FD0AB4"/>
    <w:rsid w:val="00FD4CDC"/>
    <w:rsid w:val="00FD63BC"/>
    <w:rsid w:val="00FE0F2D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C2D5CD"/>
  <w15:docId w15:val="{76EBE98E-2043-41B8-B216-3674EBCE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A1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A13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AC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2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A3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24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45F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22E66CC3B90418F5E901CC914A1FE" ma:contentTypeVersion="9" ma:contentTypeDescription="Create a new document." ma:contentTypeScope="" ma:versionID="32277c88f2b3fd6ee9f527ef748f7ff0">
  <xsd:schema xmlns:xsd="http://www.w3.org/2001/XMLSchema" xmlns:xs="http://www.w3.org/2001/XMLSchema" xmlns:p="http://schemas.microsoft.com/office/2006/metadata/properties" xmlns:ns2="fa03fcb7-b1f2-4bb7-8507-f91c69bdfc74" xmlns:ns3="1c4ce885-96ce-4b9c-8a16-a905ab8d0ce6" targetNamespace="http://schemas.microsoft.com/office/2006/metadata/properties" ma:root="true" ma:fieldsID="e1028136aa5b0d452d252e12f789cfbb" ns2:_="" ns3:_="">
    <xsd:import namespace="fa03fcb7-b1f2-4bb7-8507-f91c69bdfc74"/>
    <xsd:import namespace="1c4ce885-96ce-4b9c-8a16-a905ab8d0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3fcb7-b1f2-4bb7-8507-f91c69bdf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e885-96ce-4b9c-8a16-a905ab8d0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CE060-5113-4F15-BAFE-9BE052F6E24F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1c4ce885-96ce-4b9c-8a16-a905ab8d0ce6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a03fcb7-b1f2-4bb7-8507-f91c69bdfc74"/>
  </ds:schemaRefs>
</ds:datastoreItem>
</file>

<file path=customXml/itemProps2.xml><?xml version="1.0" encoding="utf-8"?>
<ds:datastoreItem xmlns:ds="http://schemas.openxmlformats.org/officeDocument/2006/customXml" ds:itemID="{6601A722-8B45-4DB8-8068-50FF29C8B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14DBC-4DA3-4DDD-BD9C-1B875576B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3fcb7-b1f2-4bb7-8507-f91c69bdfc74"/>
    <ds:schemaRef ds:uri="1c4ce885-96ce-4b9c-8a16-a905ab8d0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930</Words>
  <Characters>4878</Characters>
  <Application>Microsoft Office Word</Application>
  <DocSecurity>0</DocSecurity>
  <Lines>147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Ladbrook</dc:creator>
  <cp:lastModifiedBy>Westlake, Pete</cp:lastModifiedBy>
  <cp:revision>2</cp:revision>
  <cp:lastPrinted>2019-06-13T09:30:00Z</cp:lastPrinted>
  <dcterms:created xsi:type="dcterms:W3CDTF">2025-11-23T10:29:00Z</dcterms:created>
  <dcterms:modified xsi:type="dcterms:W3CDTF">2025-11-23T10:29:00Z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0x01010071022E66CC3B90418F5E901CC914A1FE</vt:lpwstr>
  </property>
  <property fmtid="{D5CDD505-2E9C-101B-9397-08002B2CF9AE}" pid="3" name="MediaServiceImageTags">
    <vt:lpwstr/>
  </property>
</Properties>
</file>